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52C" w:rsidRPr="00B4668A" w:rsidRDefault="0050652C" w:rsidP="00B4668A">
      <w:pPr>
        <w:autoSpaceDE w:val="0"/>
        <w:autoSpaceDN w:val="0"/>
        <w:adjustRightInd w:val="0"/>
        <w:spacing w:after="0" w:line="360" w:lineRule="auto"/>
        <w:jc w:val="center"/>
        <w:rPr>
          <w:rFonts w:ascii="Century Gothic" w:hAnsi="Century Gothic"/>
          <w:sz w:val="24"/>
          <w:szCs w:val="24"/>
        </w:rPr>
      </w:pPr>
    </w:p>
    <w:p w:rsidR="002A221F" w:rsidRPr="00B4668A" w:rsidRDefault="002A221F" w:rsidP="00B4668A">
      <w:pPr>
        <w:autoSpaceDE w:val="0"/>
        <w:autoSpaceDN w:val="0"/>
        <w:adjustRightInd w:val="0"/>
        <w:spacing w:after="0" w:line="360" w:lineRule="auto"/>
        <w:jc w:val="center"/>
        <w:rPr>
          <w:rFonts w:ascii="Century Gothic" w:hAnsi="Century Gothic" w:cs="FGHCHM+TimesNewRoman,Bold"/>
          <w:b/>
          <w:bCs/>
          <w:color w:val="000000"/>
          <w:sz w:val="24"/>
          <w:szCs w:val="24"/>
        </w:rPr>
      </w:pPr>
      <w:r w:rsidRPr="00B4668A">
        <w:rPr>
          <w:rFonts w:ascii="Century Gothic" w:hAnsi="Century Gothic" w:cs="FGHCHM+TimesNewRoman,Bold"/>
          <w:b/>
          <w:bCs/>
          <w:color w:val="000000"/>
          <w:sz w:val="24"/>
          <w:szCs w:val="24"/>
        </w:rPr>
        <w:t>INDUSTRIE DES MÉTAUX NON FERREUX</w:t>
      </w:r>
    </w:p>
    <w:p w:rsidR="0050652C" w:rsidRPr="00B4668A" w:rsidRDefault="0050652C" w:rsidP="00B4668A">
      <w:pPr>
        <w:autoSpaceDE w:val="0"/>
        <w:autoSpaceDN w:val="0"/>
        <w:adjustRightInd w:val="0"/>
        <w:spacing w:after="0" w:line="360" w:lineRule="auto"/>
        <w:jc w:val="both"/>
        <w:rPr>
          <w:rFonts w:ascii="Century Gothic" w:hAnsi="Century Gothic" w:cs="FGHCHM+TimesNewRoman,Bold"/>
          <w:color w:val="000000"/>
          <w:sz w:val="24"/>
          <w:szCs w:val="24"/>
        </w:rPr>
      </w:pPr>
    </w:p>
    <w:p w:rsidR="002A221F" w:rsidRPr="00B4668A" w:rsidRDefault="002A221F" w:rsidP="00B4668A">
      <w:pPr>
        <w:pStyle w:val="Paragraphedeliste"/>
        <w:numPr>
          <w:ilvl w:val="0"/>
          <w:numId w:val="2"/>
        </w:numPr>
        <w:autoSpaceDE w:val="0"/>
        <w:autoSpaceDN w:val="0"/>
        <w:adjustRightInd w:val="0"/>
        <w:spacing w:after="0" w:line="360" w:lineRule="auto"/>
        <w:ind w:left="284"/>
        <w:jc w:val="both"/>
        <w:rPr>
          <w:rFonts w:ascii="Century Gothic" w:hAnsi="Century Gothic" w:cs="GEJIJJ+TimesNewRoman"/>
          <w:color w:val="000000"/>
          <w:sz w:val="24"/>
          <w:szCs w:val="24"/>
        </w:rPr>
      </w:pPr>
      <w:r w:rsidRPr="00B4668A">
        <w:rPr>
          <w:rFonts w:ascii="Century Gothic" w:hAnsi="Century Gothic" w:cs="GEJIJJ+TimesNewRoman"/>
          <w:color w:val="000000"/>
          <w:sz w:val="24"/>
          <w:szCs w:val="24"/>
        </w:rPr>
        <w:t>Les métaux dont il est question dans les lignes directrices suivantes</w:t>
      </w:r>
      <w:r w:rsidR="00ED3FBF">
        <w:rPr>
          <w:rStyle w:val="Appelnotedebasdep"/>
          <w:rFonts w:ascii="Century Gothic" w:hAnsi="Century Gothic" w:cs="GEJIJJ+TimesNewRoman"/>
          <w:color w:val="000000"/>
          <w:sz w:val="24"/>
          <w:szCs w:val="24"/>
        </w:rPr>
        <w:footnoteReference w:id="2"/>
      </w:r>
      <w:r w:rsidRPr="00B4668A">
        <w:rPr>
          <w:rFonts w:ascii="Century Gothic" w:hAnsi="Century Gothic" w:cs="GEJIJJ+TimesNewRoman"/>
          <w:color w:val="000000"/>
          <w:sz w:val="24"/>
          <w:szCs w:val="24"/>
        </w:rPr>
        <w:t xml:space="preserve"> sont l’aluminium, les alliages ferreux, le cuivre, le plomb, le zinc et le nickel. Il existe, par ailleurs, beaucoup plus de métaux non ferreux, mais dans la mesure où ils sont produits en petites quantités et selon des moyens de fabrication hautement spécialisés ou qu’ils sont dérivés d’autres procédés, la Banque Ouest Africaine de Développement ne participe que rarement à ce genre de projets. </w:t>
      </w:r>
    </w:p>
    <w:p w:rsidR="002A221F" w:rsidRPr="00B4668A" w:rsidRDefault="002A221F" w:rsidP="00B4668A">
      <w:pPr>
        <w:autoSpaceDE w:val="0"/>
        <w:autoSpaceDN w:val="0"/>
        <w:adjustRightInd w:val="0"/>
        <w:spacing w:after="0" w:line="360" w:lineRule="auto"/>
        <w:jc w:val="both"/>
        <w:rPr>
          <w:rFonts w:ascii="Century Gothic" w:hAnsi="Century Gothic" w:cs="FGHCHM+TimesNewRoman,Bold"/>
          <w:b/>
          <w:bCs/>
          <w:color w:val="000000"/>
          <w:sz w:val="24"/>
          <w:szCs w:val="24"/>
        </w:rPr>
      </w:pPr>
    </w:p>
    <w:p w:rsidR="002A221F" w:rsidRPr="00B4668A" w:rsidRDefault="002A221F" w:rsidP="00B4668A">
      <w:pPr>
        <w:autoSpaceDE w:val="0"/>
        <w:autoSpaceDN w:val="0"/>
        <w:adjustRightInd w:val="0"/>
        <w:spacing w:after="0" w:line="360" w:lineRule="auto"/>
        <w:ind w:firstLine="284"/>
        <w:jc w:val="both"/>
        <w:rPr>
          <w:rFonts w:ascii="Century Gothic" w:hAnsi="Century Gothic" w:cs="FGHCHM+TimesNewRoman,Bold"/>
          <w:color w:val="000000"/>
          <w:sz w:val="24"/>
          <w:szCs w:val="24"/>
        </w:rPr>
      </w:pPr>
      <w:r w:rsidRPr="00B4668A">
        <w:rPr>
          <w:rFonts w:ascii="Century Gothic" w:hAnsi="Century Gothic" w:cs="FGHCHM+TimesNewRoman,Bold"/>
          <w:b/>
          <w:bCs/>
          <w:color w:val="000000"/>
          <w:sz w:val="24"/>
          <w:szCs w:val="24"/>
        </w:rPr>
        <w:t xml:space="preserve">Aluminium </w:t>
      </w:r>
    </w:p>
    <w:p w:rsidR="002A221F" w:rsidRPr="00B4668A" w:rsidRDefault="002A221F" w:rsidP="00B4668A">
      <w:pPr>
        <w:autoSpaceDE w:val="0"/>
        <w:autoSpaceDN w:val="0"/>
        <w:adjustRightInd w:val="0"/>
        <w:spacing w:after="0" w:line="360" w:lineRule="auto"/>
        <w:jc w:val="both"/>
        <w:rPr>
          <w:rFonts w:ascii="Century Gothic" w:hAnsi="Century Gothic" w:cs="GEJIJJ+TimesNewRoman"/>
          <w:color w:val="000000"/>
          <w:sz w:val="24"/>
          <w:szCs w:val="24"/>
        </w:rPr>
      </w:pPr>
    </w:p>
    <w:p w:rsidR="002A221F" w:rsidRPr="00B4668A" w:rsidRDefault="002A221F" w:rsidP="00B4668A">
      <w:pPr>
        <w:pStyle w:val="Paragraphedeliste"/>
        <w:numPr>
          <w:ilvl w:val="0"/>
          <w:numId w:val="2"/>
        </w:numPr>
        <w:autoSpaceDE w:val="0"/>
        <w:autoSpaceDN w:val="0"/>
        <w:adjustRightInd w:val="0"/>
        <w:spacing w:after="0" w:line="360" w:lineRule="auto"/>
        <w:ind w:left="284"/>
        <w:jc w:val="both"/>
        <w:rPr>
          <w:rFonts w:ascii="Century Gothic" w:hAnsi="Century Gothic" w:cs="GEJIJJ+TimesNewRoman"/>
          <w:color w:val="000000"/>
          <w:sz w:val="24"/>
          <w:szCs w:val="24"/>
        </w:rPr>
      </w:pPr>
      <w:r w:rsidRPr="00B4668A">
        <w:rPr>
          <w:rFonts w:ascii="Century Gothic" w:hAnsi="Century Gothic" w:cs="GEJIJJ+TimesNewRoman"/>
          <w:color w:val="000000"/>
          <w:sz w:val="24"/>
          <w:szCs w:val="24"/>
        </w:rPr>
        <w:t xml:space="preserve">L’aluminium est élaboré à partir du minerai de bauxite, un oxyde hydraté d’aluminium. Ce minerai doit d’abord être purifié en le débarrassant des autres éléments qu’il renferme et où l’alumine est dissous dans une solution de soude caustique très concentrée. Le résidu est filtré (boues rouges) et réintroduit dans le procédé de fabrication. Le résidu finalement obtenu est mis au rebut. On obtient la séparation de l’alumine après cristallisation, épaississement, filtrage et calcination. L’alumine est alors réduite par électrolyse, mise en alliage et moulée en lingots. </w:t>
      </w:r>
    </w:p>
    <w:p w:rsidR="0050652C" w:rsidRPr="00B4668A" w:rsidRDefault="0050652C" w:rsidP="00B4668A">
      <w:pPr>
        <w:autoSpaceDE w:val="0"/>
        <w:autoSpaceDN w:val="0"/>
        <w:adjustRightInd w:val="0"/>
        <w:spacing w:after="0" w:line="360" w:lineRule="auto"/>
        <w:jc w:val="both"/>
        <w:rPr>
          <w:rFonts w:ascii="Century Gothic" w:hAnsi="Century Gothic" w:cs="GEJIJJ+TimesNewRoman"/>
          <w:color w:val="000000"/>
          <w:sz w:val="24"/>
          <w:szCs w:val="24"/>
        </w:rPr>
      </w:pPr>
    </w:p>
    <w:p w:rsidR="0050652C" w:rsidRPr="00B4668A" w:rsidRDefault="002A221F" w:rsidP="00B4668A">
      <w:pPr>
        <w:pStyle w:val="Paragraphedeliste"/>
        <w:numPr>
          <w:ilvl w:val="0"/>
          <w:numId w:val="2"/>
        </w:numPr>
        <w:autoSpaceDE w:val="0"/>
        <w:autoSpaceDN w:val="0"/>
        <w:adjustRightInd w:val="0"/>
        <w:spacing w:after="0" w:line="360" w:lineRule="auto"/>
        <w:ind w:left="284"/>
        <w:jc w:val="both"/>
        <w:rPr>
          <w:rFonts w:ascii="Century Gothic" w:hAnsi="Century Gothic" w:cs="GEJIJJ+TimesNewRoman"/>
          <w:color w:val="000000"/>
          <w:sz w:val="24"/>
          <w:szCs w:val="24"/>
        </w:rPr>
      </w:pPr>
      <w:r w:rsidRPr="00B4668A">
        <w:rPr>
          <w:rFonts w:ascii="Century Gothic" w:hAnsi="Century Gothic" w:cs="GEJIJJ+TimesNewRoman"/>
          <w:color w:val="000000"/>
          <w:sz w:val="24"/>
          <w:szCs w:val="24"/>
        </w:rPr>
        <w:t xml:space="preserve">La production d’aluminium secondaire utilise des résidus d’aluminium et des métaux de combustion récupérés comme matières premières. Les résidus et l’aluminium recyclé sont liquéfiés dans un fourneau auxquels on a ajouté des fondants pour être ensuite alliés, démagnésités (retrait du magnésium), dégazés à l’aide de chlore et écumés avant d’être moulés en lingots. </w:t>
      </w:r>
    </w:p>
    <w:p w:rsidR="0050652C" w:rsidRDefault="0050652C" w:rsidP="00B4668A">
      <w:pPr>
        <w:autoSpaceDE w:val="0"/>
        <w:autoSpaceDN w:val="0"/>
        <w:adjustRightInd w:val="0"/>
        <w:spacing w:after="0" w:line="360" w:lineRule="auto"/>
        <w:jc w:val="both"/>
        <w:rPr>
          <w:rFonts w:ascii="Century Gothic" w:hAnsi="Century Gothic" w:cs="FGHCHM+TimesNewRoman,Bold"/>
          <w:b/>
          <w:bCs/>
          <w:color w:val="000000"/>
          <w:sz w:val="24"/>
          <w:szCs w:val="24"/>
        </w:rPr>
      </w:pPr>
    </w:p>
    <w:p w:rsidR="007D0AEC" w:rsidRDefault="007D0AEC" w:rsidP="00B4668A">
      <w:pPr>
        <w:autoSpaceDE w:val="0"/>
        <w:autoSpaceDN w:val="0"/>
        <w:adjustRightInd w:val="0"/>
        <w:spacing w:after="0" w:line="360" w:lineRule="auto"/>
        <w:jc w:val="both"/>
        <w:rPr>
          <w:rFonts w:ascii="Century Gothic" w:hAnsi="Century Gothic" w:cs="FGHCHM+TimesNewRoman,Bold"/>
          <w:b/>
          <w:bCs/>
          <w:color w:val="000000"/>
          <w:sz w:val="24"/>
          <w:szCs w:val="24"/>
        </w:rPr>
      </w:pPr>
    </w:p>
    <w:p w:rsidR="007D0AEC" w:rsidRPr="00B4668A" w:rsidRDefault="007D0AEC" w:rsidP="00B4668A">
      <w:pPr>
        <w:autoSpaceDE w:val="0"/>
        <w:autoSpaceDN w:val="0"/>
        <w:adjustRightInd w:val="0"/>
        <w:spacing w:after="0" w:line="360" w:lineRule="auto"/>
        <w:jc w:val="both"/>
        <w:rPr>
          <w:rFonts w:ascii="Century Gothic" w:hAnsi="Century Gothic" w:cs="FGHCHM+TimesNewRoman,Bold"/>
          <w:b/>
          <w:bCs/>
          <w:color w:val="000000"/>
          <w:sz w:val="24"/>
          <w:szCs w:val="24"/>
        </w:rPr>
      </w:pPr>
    </w:p>
    <w:p w:rsidR="007D0AEC" w:rsidRDefault="007D0AEC" w:rsidP="00B4668A">
      <w:pPr>
        <w:autoSpaceDE w:val="0"/>
        <w:autoSpaceDN w:val="0"/>
        <w:adjustRightInd w:val="0"/>
        <w:spacing w:after="0" w:line="360" w:lineRule="auto"/>
        <w:ind w:firstLine="284"/>
        <w:jc w:val="both"/>
        <w:rPr>
          <w:rFonts w:ascii="Century Gothic" w:hAnsi="Century Gothic" w:cs="FGHCHM+TimesNewRoman,Bold"/>
          <w:b/>
          <w:bCs/>
          <w:color w:val="000000"/>
          <w:sz w:val="24"/>
          <w:szCs w:val="24"/>
        </w:rPr>
      </w:pPr>
    </w:p>
    <w:p w:rsidR="0050652C" w:rsidRPr="00B4668A" w:rsidRDefault="002A221F" w:rsidP="00B4668A">
      <w:pPr>
        <w:autoSpaceDE w:val="0"/>
        <w:autoSpaceDN w:val="0"/>
        <w:adjustRightInd w:val="0"/>
        <w:spacing w:after="0" w:line="360" w:lineRule="auto"/>
        <w:ind w:firstLine="284"/>
        <w:jc w:val="both"/>
        <w:rPr>
          <w:rFonts w:ascii="Century Gothic" w:hAnsi="Century Gothic" w:cs="FGHCHM+TimesNewRoman,Bold"/>
          <w:color w:val="000000"/>
          <w:sz w:val="24"/>
          <w:szCs w:val="24"/>
        </w:rPr>
      </w:pPr>
      <w:r w:rsidRPr="00B4668A">
        <w:rPr>
          <w:rFonts w:ascii="Century Gothic" w:hAnsi="Century Gothic" w:cs="FGHCHM+TimesNewRoman,Bold"/>
          <w:b/>
          <w:bCs/>
          <w:color w:val="000000"/>
          <w:sz w:val="24"/>
          <w:szCs w:val="24"/>
        </w:rPr>
        <w:t xml:space="preserve">Alliage ferreux </w:t>
      </w:r>
    </w:p>
    <w:p w:rsidR="0050652C" w:rsidRPr="00B4668A" w:rsidRDefault="0050652C" w:rsidP="00B4668A">
      <w:pPr>
        <w:autoSpaceDE w:val="0"/>
        <w:autoSpaceDN w:val="0"/>
        <w:adjustRightInd w:val="0"/>
        <w:spacing w:after="0" w:line="360" w:lineRule="auto"/>
        <w:jc w:val="both"/>
        <w:rPr>
          <w:rFonts w:ascii="Century Gothic" w:hAnsi="Century Gothic" w:cs="GEJIJJ+TimesNewRoman"/>
          <w:color w:val="000000"/>
          <w:sz w:val="24"/>
          <w:szCs w:val="24"/>
        </w:rPr>
      </w:pPr>
    </w:p>
    <w:p w:rsidR="0050652C" w:rsidRPr="00B4668A" w:rsidRDefault="002A221F" w:rsidP="00B4668A">
      <w:pPr>
        <w:pStyle w:val="Sansinterligne"/>
        <w:numPr>
          <w:ilvl w:val="0"/>
          <w:numId w:val="2"/>
        </w:numPr>
        <w:spacing w:line="360" w:lineRule="auto"/>
        <w:ind w:left="284"/>
        <w:jc w:val="both"/>
        <w:rPr>
          <w:rFonts w:ascii="Century Gothic" w:hAnsi="Century Gothic"/>
          <w:sz w:val="24"/>
          <w:szCs w:val="24"/>
        </w:rPr>
      </w:pPr>
      <w:r w:rsidRPr="00B4668A">
        <w:rPr>
          <w:rFonts w:ascii="Century Gothic" w:hAnsi="Century Gothic"/>
          <w:sz w:val="24"/>
          <w:szCs w:val="24"/>
        </w:rPr>
        <w:t xml:space="preserve">La production d’alliage ferreux consiste essentiellement à réduire et à fondre un mélange d’oxydes dans un four électrique. Le carbone, se présentant sous forme de coke que l’on ajoute généralement aux combustibles, élimine l’oxygène sous forme de monoxyde de carbone. Les oxydes non réductibles s’ajoutent aux scories et les métaux réductibles forment un alliage. On vide régulièrement le fond des fourneaux des scories liquides et de l’alliage formé. Le type d’alliage – ferrochrome, ferromanganèse, ferronickel, ferrovanadium, ferroniobium, etc. – dépend du minerai qui alimente le fourneau. Les scories et alliages sont refroidis et séparés. Les alliages sont brisés, concassés et calibrés pour être commercialisés. </w:t>
      </w:r>
    </w:p>
    <w:p w:rsidR="0050652C" w:rsidRPr="00B4668A" w:rsidRDefault="0050652C" w:rsidP="00B4668A">
      <w:pPr>
        <w:pStyle w:val="Sansinterligne"/>
        <w:spacing w:line="360" w:lineRule="auto"/>
        <w:ind w:left="284"/>
        <w:jc w:val="both"/>
        <w:rPr>
          <w:rFonts w:ascii="Century Gothic" w:hAnsi="Century Gothic"/>
          <w:sz w:val="24"/>
          <w:szCs w:val="24"/>
        </w:rPr>
      </w:pPr>
    </w:p>
    <w:p w:rsidR="0050652C" w:rsidRPr="00B4668A" w:rsidRDefault="002A221F" w:rsidP="00B4668A">
      <w:pPr>
        <w:pStyle w:val="Sansinterligne"/>
        <w:numPr>
          <w:ilvl w:val="0"/>
          <w:numId w:val="2"/>
        </w:numPr>
        <w:spacing w:line="360" w:lineRule="auto"/>
        <w:ind w:left="284"/>
        <w:jc w:val="both"/>
        <w:rPr>
          <w:rFonts w:ascii="Century Gothic" w:hAnsi="Century Gothic"/>
          <w:sz w:val="24"/>
          <w:szCs w:val="24"/>
        </w:rPr>
      </w:pPr>
      <w:r w:rsidRPr="00B4668A">
        <w:rPr>
          <w:rFonts w:ascii="Century Gothic" w:hAnsi="Century Gothic"/>
          <w:sz w:val="24"/>
          <w:szCs w:val="24"/>
        </w:rPr>
        <w:t xml:space="preserve">Les émissions d’oxyde de carbone et la formation d’importantes quantités de très fines particules de poussières générées par les fours électriques constituent les principaux problèmes que représente pour l’environnement la production d’alliage ferreux. Plutôt que les fours à sole (à foyer ouvert) qu’on utilisait autrefois, les installations modernes emploient des fourneaux fermés plus efficaces et permettant de mieux contrôler les gaz et les fumées générés par les combustions à haute température. </w:t>
      </w:r>
    </w:p>
    <w:p w:rsidR="0050652C" w:rsidRPr="00B4668A" w:rsidRDefault="0050652C" w:rsidP="00B4668A">
      <w:pPr>
        <w:pStyle w:val="Sansinterligne"/>
        <w:spacing w:line="360" w:lineRule="auto"/>
        <w:ind w:left="284"/>
        <w:jc w:val="both"/>
        <w:rPr>
          <w:rFonts w:ascii="Century Gothic" w:hAnsi="Century Gothic"/>
          <w:sz w:val="24"/>
          <w:szCs w:val="24"/>
        </w:rPr>
      </w:pPr>
    </w:p>
    <w:p w:rsidR="0050652C" w:rsidRPr="00B4668A" w:rsidRDefault="002A221F" w:rsidP="00B4668A">
      <w:pPr>
        <w:pStyle w:val="Sansinterligne"/>
        <w:numPr>
          <w:ilvl w:val="0"/>
          <w:numId w:val="2"/>
        </w:numPr>
        <w:spacing w:line="360" w:lineRule="auto"/>
        <w:ind w:left="284"/>
        <w:jc w:val="both"/>
        <w:rPr>
          <w:rFonts w:ascii="Century Gothic" w:hAnsi="Century Gothic"/>
          <w:sz w:val="24"/>
          <w:szCs w:val="24"/>
        </w:rPr>
      </w:pPr>
      <w:r w:rsidRPr="00B4668A">
        <w:rPr>
          <w:rFonts w:ascii="Century Gothic" w:hAnsi="Century Gothic"/>
          <w:sz w:val="24"/>
          <w:szCs w:val="24"/>
        </w:rPr>
        <w:t xml:space="preserve">Il arrive parfois que les scories en fusion et plus rarement que les alliages soient réduits en grenailles dans un jet d’eau. Cette opération engendre un effluent liquide et donne naissance à de fines scories solides, des éléments potentiellement dommageables pour l’environnement et qu’il faut, pour cette raison, confiner. Le refroidissement des fourneaux à l’aide d’eau produit un autre flux d’effluents. </w:t>
      </w:r>
    </w:p>
    <w:p w:rsidR="002A221F" w:rsidRPr="00B4668A" w:rsidRDefault="002A221F" w:rsidP="00B4668A">
      <w:pPr>
        <w:pStyle w:val="Sansinterligne"/>
        <w:spacing w:line="360" w:lineRule="auto"/>
        <w:jc w:val="both"/>
        <w:rPr>
          <w:rFonts w:ascii="Century Gothic" w:hAnsi="Century Gothic" w:cs="FGHCHM+TimesNewRoman,Bold"/>
          <w:b/>
          <w:bCs/>
          <w:sz w:val="24"/>
          <w:szCs w:val="24"/>
        </w:rPr>
      </w:pPr>
    </w:p>
    <w:p w:rsidR="0050652C" w:rsidRPr="00B4668A" w:rsidRDefault="002A221F" w:rsidP="00B4668A">
      <w:pPr>
        <w:pStyle w:val="Sansinterligne"/>
        <w:spacing w:line="360" w:lineRule="auto"/>
        <w:ind w:firstLine="284"/>
        <w:jc w:val="both"/>
        <w:rPr>
          <w:rFonts w:ascii="Century Gothic" w:hAnsi="Century Gothic" w:cs="FGHCHM+TimesNewRoman,Bold"/>
          <w:sz w:val="24"/>
          <w:szCs w:val="24"/>
        </w:rPr>
      </w:pPr>
      <w:r w:rsidRPr="00B4668A">
        <w:rPr>
          <w:rFonts w:ascii="Century Gothic" w:hAnsi="Century Gothic" w:cs="FGHCHM+TimesNewRoman,Bold"/>
          <w:b/>
          <w:bCs/>
          <w:sz w:val="24"/>
          <w:szCs w:val="24"/>
        </w:rPr>
        <w:t xml:space="preserve">Fusion du cuivre et du sulfure de nickel </w:t>
      </w:r>
    </w:p>
    <w:p w:rsidR="0050652C" w:rsidRPr="00B4668A" w:rsidRDefault="0050652C" w:rsidP="00B4668A">
      <w:pPr>
        <w:pStyle w:val="Sansinterligne"/>
        <w:spacing w:line="360" w:lineRule="auto"/>
        <w:jc w:val="both"/>
        <w:rPr>
          <w:rFonts w:ascii="Century Gothic" w:hAnsi="Century Gothic"/>
          <w:sz w:val="24"/>
          <w:szCs w:val="24"/>
        </w:rPr>
      </w:pPr>
    </w:p>
    <w:p w:rsidR="0050652C" w:rsidRPr="00B4668A" w:rsidRDefault="002A221F" w:rsidP="00B4668A">
      <w:pPr>
        <w:pStyle w:val="Paragraphedeliste"/>
        <w:numPr>
          <w:ilvl w:val="0"/>
          <w:numId w:val="2"/>
        </w:numPr>
        <w:autoSpaceDE w:val="0"/>
        <w:autoSpaceDN w:val="0"/>
        <w:adjustRightInd w:val="0"/>
        <w:spacing w:after="0" w:line="360" w:lineRule="auto"/>
        <w:ind w:left="284"/>
        <w:jc w:val="both"/>
        <w:rPr>
          <w:rFonts w:ascii="Century Gothic" w:hAnsi="Century Gothic" w:cs="GEJIJJ+TimesNewRoman"/>
          <w:color w:val="000000"/>
          <w:sz w:val="24"/>
          <w:szCs w:val="24"/>
        </w:rPr>
      </w:pPr>
      <w:r w:rsidRPr="00B4668A">
        <w:rPr>
          <w:rFonts w:ascii="Century Gothic" w:hAnsi="Century Gothic" w:cs="GEJIJJ+TimesNewRoman"/>
          <w:color w:val="000000"/>
          <w:sz w:val="24"/>
          <w:szCs w:val="24"/>
        </w:rPr>
        <w:t xml:space="preserve">Le procédé pyrométallurgique de fusion du sulfure fabrique l’ensemble de la production mondiale de cuivre et de nickel. L’essentiel des opérations consiste à </w:t>
      </w:r>
      <w:r w:rsidRPr="00B4668A">
        <w:rPr>
          <w:rFonts w:ascii="Century Gothic" w:hAnsi="Century Gothic" w:cs="GEJIJJ+TimesNewRoman"/>
          <w:color w:val="000000"/>
          <w:sz w:val="24"/>
          <w:szCs w:val="24"/>
        </w:rPr>
        <w:lastRenderedPageBreak/>
        <w:t xml:space="preserve">fondre et à séparer par gravité les scories d’oxyde en fusion de faible densité d’avec la matte (mélange de sulfure de métaux) en fusion plus lourde. </w:t>
      </w:r>
    </w:p>
    <w:p w:rsidR="0050652C" w:rsidRPr="00B4668A" w:rsidRDefault="0050652C" w:rsidP="00B4668A">
      <w:pPr>
        <w:autoSpaceDE w:val="0"/>
        <w:autoSpaceDN w:val="0"/>
        <w:adjustRightInd w:val="0"/>
        <w:spacing w:after="0" w:line="360" w:lineRule="auto"/>
        <w:ind w:left="284"/>
        <w:jc w:val="both"/>
        <w:rPr>
          <w:rFonts w:ascii="Century Gothic" w:hAnsi="Century Gothic" w:cs="GEJIJJ+TimesNewRoman"/>
          <w:color w:val="000000"/>
          <w:sz w:val="24"/>
          <w:szCs w:val="24"/>
        </w:rPr>
      </w:pPr>
    </w:p>
    <w:p w:rsidR="0050652C" w:rsidRPr="00B4668A" w:rsidRDefault="002A221F" w:rsidP="00B4668A">
      <w:pPr>
        <w:pStyle w:val="Paragraphedeliste"/>
        <w:numPr>
          <w:ilvl w:val="0"/>
          <w:numId w:val="2"/>
        </w:numPr>
        <w:autoSpaceDE w:val="0"/>
        <w:autoSpaceDN w:val="0"/>
        <w:adjustRightInd w:val="0"/>
        <w:spacing w:after="0" w:line="360" w:lineRule="auto"/>
        <w:ind w:left="284"/>
        <w:jc w:val="both"/>
        <w:rPr>
          <w:rFonts w:ascii="Century Gothic" w:hAnsi="Century Gothic" w:cs="GEJIJJ+TimesNewRoman"/>
          <w:color w:val="000000"/>
          <w:sz w:val="24"/>
          <w:szCs w:val="24"/>
        </w:rPr>
      </w:pPr>
      <w:r w:rsidRPr="00B4668A">
        <w:rPr>
          <w:rFonts w:ascii="Century Gothic" w:hAnsi="Century Gothic" w:cs="GEJIJJ+TimesNewRoman"/>
          <w:color w:val="000000"/>
          <w:sz w:val="24"/>
          <w:szCs w:val="24"/>
        </w:rPr>
        <w:t xml:space="preserve">On procède au grillage de la matte de manière à ajuster les composés de soufre et de fer qu’elle contient et que l’on obtient généralement après la phase de fusion. L’opération de grillage consiste à chauffer la charge qui est ensuite mise en réaction avec l’air. Le soufre superflu s’évapore sous forme d’oxyde de soufre alors que le fer (qui se présente surtout sous forme de sulfure) et l’oxyde de fer en fusion se déposeront dans les scories. En raison des impuretés contenues dans de nombreux minerais tels que l’arsenic, l’antimoine et le cadmium, le grillage représente un problème pour l’environnement. Les oxydes qui y sont présents ont tendance à s’évaporer pour ensuite se condenser en particules dans les effluents gazeux. </w:t>
      </w:r>
    </w:p>
    <w:p w:rsidR="0050652C" w:rsidRPr="00B4668A" w:rsidRDefault="0050652C" w:rsidP="00B4668A">
      <w:pPr>
        <w:autoSpaceDE w:val="0"/>
        <w:autoSpaceDN w:val="0"/>
        <w:adjustRightInd w:val="0"/>
        <w:spacing w:after="0" w:line="360" w:lineRule="auto"/>
        <w:ind w:left="284"/>
        <w:jc w:val="both"/>
        <w:rPr>
          <w:rFonts w:ascii="Century Gothic" w:hAnsi="Century Gothic" w:cs="GEJIJJ+TimesNewRoman"/>
          <w:color w:val="000000"/>
          <w:sz w:val="24"/>
          <w:szCs w:val="24"/>
        </w:rPr>
      </w:pPr>
    </w:p>
    <w:p w:rsidR="0050652C" w:rsidRPr="00B4668A" w:rsidRDefault="002A221F" w:rsidP="00B4668A">
      <w:pPr>
        <w:pStyle w:val="Paragraphedeliste"/>
        <w:numPr>
          <w:ilvl w:val="0"/>
          <w:numId w:val="2"/>
        </w:numPr>
        <w:autoSpaceDE w:val="0"/>
        <w:autoSpaceDN w:val="0"/>
        <w:adjustRightInd w:val="0"/>
        <w:spacing w:after="0" w:line="360" w:lineRule="auto"/>
        <w:ind w:left="284"/>
        <w:jc w:val="both"/>
        <w:rPr>
          <w:rFonts w:ascii="Century Gothic" w:hAnsi="Century Gothic" w:cs="GEJIJJ+TimesNewRoman"/>
          <w:color w:val="000000"/>
          <w:sz w:val="24"/>
          <w:szCs w:val="24"/>
        </w:rPr>
      </w:pPr>
      <w:r w:rsidRPr="00B4668A">
        <w:rPr>
          <w:rFonts w:ascii="Century Gothic" w:hAnsi="Century Gothic" w:cs="GEJIJJ+TimesNewRoman"/>
          <w:color w:val="000000"/>
          <w:sz w:val="24"/>
          <w:szCs w:val="24"/>
        </w:rPr>
        <w:t xml:space="preserve">La conversion de la matte suit l’opération de fusion où l’air, dont la teneur en oxygène s’est parfois élevée, est injecté dans la matte en fusion en vue de la débarrasser du soufre et du fer. On obtient ainsi du cuivre poule (un cuivre métallique impur) ou des sulfures dépourvus de fer qui tous deux nécessitent d’autres traitements. Le procédé de conversion est une opération qui s’effectue à haute température et qui utilise d’importants volumes de gaz afin d’éliminer les impuretés présentes dans la matte (p. ex. oxydes de plomb, arsenic et cadmium). </w:t>
      </w:r>
    </w:p>
    <w:p w:rsidR="0050652C" w:rsidRPr="00B4668A" w:rsidRDefault="0050652C" w:rsidP="00B4668A">
      <w:pPr>
        <w:autoSpaceDE w:val="0"/>
        <w:autoSpaceDN w:val="0"/>
        <w:adjustRightInd w:val="0"/>
        <w:spacing w:after="0" w:line="360" w:lineRule="auto"/>
        <w:ind w:left="284"/>
        <w:jc w:val="both"/>
        <w:rPr>
          <w:rFonts w:ascii="Century Gothic" w:hAnsi="Century Gothic" w:cs="GEJIJJ+TimesNewRoman"/>
          <w:color w:val="000000"/>
          <w:sz w:val="24"/>
          <w:szCs w:val="24"/>
        </w:rPr>
      </w:pPr>
    </w:p>
    <w:p w:rsidR="0050652C" w:rsidRPr="00B4668A" w:rsidRDefault="002A221F" w:rsidP="00B4668A">
      <w:pPr>
        <w:pStyle w:val="Paragraphedeliste"/>
        <w:numPr>
          <w:ilvl w:val="0"/>
          <w:numId w:val="2"/>
        </w:numPr>
        <w:autoSpaceDE w:val="0"/>
        <w:autoSpaceDN w:val="0"/>
        <w:adjustRightInd w:val="0"/>
        <w:spacing w:after="0" w:line="360" w:lineRule="auto"/>
        <w:ind w:left="284"/>
        <w:jc w:val="both"/>
        <w:rPr>
          <w:rFonts w:ascii="Century Gothic" w:hAnsi="Century Gothic" w:cs="GEJIJJ+TimesNewRoman"/>
          <w:color w:val="000000"/>
          <w:sz w:val="24"/>
          <w:szCs w:val="24"/>
        </w:rPr>
      </w:pPr>
      <w:r w:rsidRPr="00B4668A">
        <w:rPr>
          <w:rFonts w:ascii="Century Gothic" w:hAnsi="Century Gothic" w:cs="GEJIJJ+TimesNewRoman"/>
          <w:color w:val="000000"/>
          <w:sz w:val="24"/>
          <w:szCs w:val="24"/>
        </w:rPr>
        <w:t xml:space="preserve">L’équipement employé dans chacune des étapes décrites ci-dessus a subi récemment de grands changements que des raisons économiques ou de protection de l’environnement expliquent. Ces améliorations se sont traduites par une réduction de la consommation en carburant et par une diminution des gaz à forte teneur en dioxyde de soufre. Elles ont également permis de se débarrasser des poussières et de récupérer le soufre, l’acide sulfurique ou les dioxyde de soufre liquides, de façon plus satisfaisante. </w:t>
      </w:r>
    </w:p>
    <w:p w:rsidR="0050652C" w:rsidRDefault="0050652C" w:rsidP="00B4668A">
      <w:pPr>
        <w:autoSpaceDE w:val="0"/>
        <w:autoSpaceDN w:val="0"/>
        <w:adjustRightInd w:val="0"/>
        <w:spacing w:after="0" w:line="360" w:lineRule="auto"/>
        <w:jc w:val="both"/>
        <w:rPr>
          <w:rFonts w:ascii="Century Gothic" w:hAnsi="Century Gothic" w:cs="FGHCHM+TimesNewRoman,Bold"/>
          <w:b/>
          <w:bCs/>
          <w:color w:val="000000"/>
          <w:sz w:val="24"/>
          <w:szCs w:val="24"/>
        </w:rPr>
      </w:pPr>
    </w:p>
    <w:p w:rsidR="007D0AEC" w:rsidRDefault="007D0AEC" w:rsidP="00B4668A">
      <w:pPr>
        <w:autoSpaceDE w:val="0"/>
        <w:autoSpaceDN w:val="0"/>
        <w:adjustRightInd w:val="0"/>
        <w:spacing w:after="0" w:line="360" w:lineRule="auto"/>
        <w:jc w:val="both"/>
        <w:rPr>
          <w:rFonts w:ascii="Century Gothic" w:hAnsi="Century Gothic" w:cs="FGHCHM+TimesNewRoman,Bold"/>
          <w:b/>
          <w:bCs/>
          <w:color w:val="000000"/>
          <w:sz w:val="24"/>
          <w:szCs w:val="24"/>
        </w:rPr>
      </w:pPr>
    </w:p>
    <w:p w:rsidR="007D0AEC" w:rsidRDefault="007D0AEC" w:rsidP="00B4668A">
      <w:pPr>
        <w:autoSpaceDE w:val="0"/>
        <w:autoSpaceDN w:val="0"/>
        <w:adjustRightInd w:val="0"/>
        <w:spacing w:after="0" w:line="360" w:lineRule="auto"/>
        <w:jc w:val="both"/>
        <w:rPr>
          <w:rFonts w:ascii="Century Gothic" w:hAnsi="Century Gothic" w:cs="FGHCHM+TimesNewRoman,Bold"/>
          <w:b/>
          <w:bCs/>
          <w:color w:val="000000"/>
          <w:sz w:val="24"/>
          <w:szCs w:val="24"/>
        </w:rPr>
      </w:pPr>
    </w:p>
    <w:p w:rsidR="007D0AEC" w:rsidRPr="00B4668A" w:rsidRDefault="007D0AEC" w:rsidP="00B4668A">
      <w:pPr>
        <w:autoSpaceDE w:val="0"/>
        <w:autoSpaceDN w:val="0"/>
        <w:adjustRightInd w:val="0"/>
        <w:spacing w:after="0" w:line="360" w:lineRule="auto"/>
        <w:jc w:val="both"/>
        <w:rPr>
          <w:rFonts w:ascii="Century Gothic" w:hAnsi="Century Gothic" w:cs="FGHCHM+TimesNewRoman,Bold"/>
          <w:b/>
          <w:bCs/>
          <w:color w:val="000000"/>
          <w:sz w:val="24"/>
          <w:szCs w:val="24"/>
        </w:rPr>
      </w:pPr>
    </w:p>
    <w:p w:rsidR="0050652C" w:rsidRPr="00B4668A" w:rsidRDefault="002A221F" w:rsidP="00B4668A">
      <w:pPr>
        <w:autoSpaceDE w:val="0"/>
        <w:autoSpaceDN w:val="0"/>
        <w:adjustRightInd w:val="0"/>
        <w:spacing w:after="0" w:line="360" w:lineRule="auto"/>
        <w:ind w:firstLine="284"/>
        <w:jc w:val="both"/>
        <w:rPr>
          <w:rFonts w:ascii="Century Gothic" w:hAnsi="Century Gothic" w:cs="FGHCHM+TimesNewRoman,Bold"/>
          <w:color w:val="000000"/>
          <w:sz w:val="24"/>
          <w:szCs w:val="24"/>
        </w:rPr>
      </w:pPr>
      <w:r w:rsidRPr="00B4668A">
        <w:rPr>
          <w:rFonts w:ascii="Century Gothic" w:hAnsi="Century Gothic" w:cs="FGHCHM+TimesNewRoman,Bold"/>
          <w:b/>
          <w:bCs/>
          <w:color w:val="000000"/>
          <w:sz w:val="24"/>
          <w:szCs w:val="24"/>
        </w:rPr>
        <w:t xml:space="preserve">Plomb </w:t>
      </w:r>
    </w:p>
    <w:p w:rsidR="0050652C" w:rsidRPr="00B4668A" w:rsidRDefault="0050652C" w:rsidP="00B4668A">
      <w:pPr>
        <w:autoSpaceDE w:val="0"/>
        <w:autoSpaceDN w:val="0"/>
        <w:adjustRightInd w:val="0"/>
        <w:spacing w:after="0" w:line="360" w:lineRule="auto"/>
        <w:jc w:val="both"/>
        <w:rPr>
          <w:rFonts w:ascii="Century Gothic" w:hAnsi="Century Gothic" w:cs="GEJIJJ+TimesNewRoman"/>
          <w:color w:val="000000"/>
          <w:sz w:val="24"/>
          <w:szCs w:val="24"/>
        </w:rPr>
      </w:pPr>
    </w:p>
    <w:p w:rsidR="0050652C" w:rsidRPr="00B4668A" w:rsidRDefault="002A221F" w:rsidP="00B4668A">
      <w:pPr>
        <w:pStyle w:val="Paragraphedeliste"/>
        <w:numPr>
          <w:ilvl w:val="0"/>
          <w:numId w:val="2"/>
        </w:numPr>
        <w:autoSpaceDE w:val="0"/>
        <w:autoSpaceDN w:val="0"/>
        <w:adjustRightInd w:val="0"/>
        <w:spacing w:after="0" w:line="360" w:lineRule="auto"/>
        <w:ind w:left="284"/>
        <w:jc w:val="both"/>
        <w:rPr>
          <w:rFonts w:ascii="Century Gothic" w:hAnsi="Century Gothic" w:cs="GEJIJJ+TimesNewRoman"/>
          <w:color w:val="000000"/>
          <w:sz w:val="24"/>
          <w:szCs w:val="24"/>
        </w:rPr>
      </w:pPr>
      <w:r w:rsidRPr="00B4668A">
        <w:rPr>
          <w:rFonts w:ascii="Century Gothic" w:hAnsi="Century Gothic" w:cs="GEJIJJ+TimesNewRoman"/>
          <w:color w:val="000000"/>
          <w:sz w:val="24"/>
          <w:szCs w:val="24"/>
        </w:rPr>
        <w:t xml:space="preserve">La fusion des minerais de plomb et des minerais concentrés suppose qu’il faille généralement procéder à des opérations de frittage pour en séparer le soufre, oxyder le plomb et agglomérer les fines particules suivies par la réduction des minerais dans un four. </w:t>
      </w:r>
    </w:p>
    <w:p w:rsidR="0050652C" w:rsidRPr="00B4668A" w:rsidRDefault="0050652C" w:rsidP="00B4668A">
      <w:pPr>
        <w:autoSpaceDE w:val="0"/>
        <w:autoSpaceDN w:val="0"/>
        <w:adjustRightInd w:val="0"/>
        <w:spacing w:after="0" w:line="360" w:lineRule="auto"/>
        <w:jc w:val="both"/>
        <w:rPr>
          <w:rFonts w:ascii="Century Gothic" w:hAnsi="Century Gothic" w:cs="FGHCHM+TimesNewRoman,Bold"/>
          <w:b/>
          <w:bCs/>
          <w:color w:val="000000"/>
          <w:sz w:val="24"/>
          <w:szCs w:val="24"/>
        </w:rPr>
      </w:pPr>
    </w:p>
    <w:p w:rsidR="0050652C" w:rsidRPr="00B4668A" w:rsidRDefault="002A221F" w:rsidP="00B4668A">
      <w:pPr>
        <w:autoSpaceDE w:val="0"/>
        <w:autoSpaceDN w:val="0"/>
        <w:adjustRightInd w:val="0"/>
        <w:spacing w:after="0" w:line="360" w:lineRule="auto"/>
        <w:ind w:firstLine="284"/>
        <w:jc w:val="both"/>
        <w:rPr>
          <w:rFonts w:ascii="Century Gothic" w:hAnsi="Century Gothic" w:cs="FGHCHM+TimesNewRoman,Bold"/>
          <w:color w:val="000000"/>
          <w:sz w:val="24"/>
          <w:szCs w:val="24"/>
        </w:rPr>
      </w:pPr>
      <w:r w:rsidRPr="00B4668A">
        <w:rPr>
          <w:rFonts w:ascii="Century Gothic" w:hAnsi="Century Gothic" w:cs="FGHCHM+TimesNewRoman,Bold"/>
          <w:b/>
          <w:bCs/>
          <w:color w:val="000000"/>
          <w:sz w:val="24"/>
          <w:szCs w:val="24"/>
        </w:rPr>
        <w:t xml:space="preserve">Zinc </w:t>
      </w:r>
    </w:p>
    <w:p w:rsidR="0050652C" w:rsidRPr="00B4668A" w:rsidRDefault="0050652C" w:rsidP="00B4668A">
      <w:pPr>
        <w:autoSpaceDE w:val="0"/>
        <w:autoSpaceDN w:val="0"/>
        <w:adjustRightInd w:val="0"/>
        <w:spacing w:after="0" w:line="360" w:lineRule="auto"/>
        <w:jc w:val="both"/>
        <w:rPr>
          <w:rFonts w:ascii="Century Gothic" w:hAnsi="Century Gothic" w:cs="GEJIJJ+TimesNewRoman"/>
          <w:color w:val="000000"/>
          <w:sz w:val="24"/>
          <w:szCs w:val="24"/>
        </w:rPr>
      </w:pPr>
    </w:p>
    <w:p w:rsidR="0050652C" w:rsidRDefault="002A221F" w:rsidP="007D0AEC">
      <w:pPr>
        <w:pStyle w:val="Paragraphedeliste"/>
        <w:widowControl w:val="0"/>
        <w:numPr>
          <w:ilvl w:val="0"/>
          <w:numId w:val="2"/>
        </w:numPr>
        <w:autoSpaceDE w:val="0"/>
        <w:autoSpaceDN w:val="0"/>
        <w:adjustRightInd w:val="0"/>
        <w:spacing w:after="0" w:line="360" w:lineRule="auto"/>
        <w:ind w:left="284"/>
        <w:jc w:val="both"/>
        <w:rPr>
          <w:rFonts w:ascii="Century Gothic" w:hAnsi="Century Gothic" w:cs="GEJIJJ+TimesNewRoman"/>
          <w:color w:val="000000"/>
          <w:sz w:val="24"/>
          <w:szCs w:val="24"/>
        </w:rPr>
      </w:pPr>
      <w:r w:rsidRPr="00B4668A">
        <w:rPr>
          <w:rFonts w:ascii="Century Gothic" w:hAnsi="Century Gothic" w:cs="GEJIJJ+TimesNewRoman"/>
          <w:color w:val="000000"/>
          <w:sz w:val="24"/>
          <w:szCs w:val="24"/>
        </w:rPr>
        <w:t xml:space="preserve">Les sulfures représentent les principales sources de production du zinc. On emploie deux méthodes d’extraction du métal : l’une où l’on procède à la combinaison d’une pyrométallurgie, d’une hydrométallurgie et d’une électrométallurgie, et l’autre où l’on emploie une simple méthode pyrométallurgique. Les deux procédés commencent par convertir le sulfure en oxyde. Dans la méthode pyrométallurgique, le frittage d’oxyde de zinc alimente le haut fourneau. Le métal se vaporise et se condense en zinc fondu à partir des gaz résiduels. Dans la phase hydrométallurgique, l’oxyde de zinc est dissout par l’acide sulfurique, la solution est purifiée et le zinc récupéré par électrolyse (galvanoplastie). La jarosite, un sulfate de fer est un déchet solide produit par la phase de </w:t>
      </w:r>
      <w:r w:rsidR="007C761B" w:rsidRPr="00B4668A">
        <w:rPr>
          <w:rFonts w:ascii="Century Gothic" w:hAnsi="Century Gothic" w:cs="GEJIJJ+TimesNewRoman"/>
          <w:color w:val="000000"/>
          <w:sz w:val="24"/>
          <w:szCs w:val="24"/>
        </w:rPr>
        <w:t>purification</w:t>
      </w:r>
      <w:r w:rsidRPr="00B4668A">
        <w:rPr>
          <w:rFonts w:ascii="Century Gothic" w:hAnsi="Century Gothic" w:cs="GEJIJJ+TimesNewRoman"/>
          <w:color w:val="000000"/>
          <w:sz w:val="24"/>
          <w:szCs w:val="24"/>
        </w:rPr>
        <w:t xml:space="preserve"> </w:t>
      </w:r>
    </w:p>
    <w:p w:rsidR="007D0AEC" w:rsidRPr="00B4668A" w:rsidRDefault="007D0AEC" w:rsidP="007D0AEC">
      <w:pPr>
        <w:pStyle w:val="Paragraphedeliste"/>
        <w:widowControl w:val="0"/>
        <w:autoSpaceDE w:val="0"/>
        <w:autoSpaceDN w:val="0"/>
        <w:adjustRightInd w:val="0"/>
        <w:spacing w:after="0" w:line="360" w:lineRule="auto"/>
        <w:ind w:left="284"/>
        <w:jc w:val="both"/>
        <w:rPr>
          <w:rFonts w:ascii="Century Gothic" w:hAnsi="Century Gothic" w:cs="GEJIJJ+TimesNewRoman"/>
          <w:color w:val="000000"/>
          <w:sz w:val="24"/>
          <w:szCs w:val="24"/>
        </w:rPr>
      </w:pPr>
    </w:p>
    <w:p w:rsidR="0050652C" w:rsidRPr="00B4668A" w:rsidRDefault="002A221F" w:rsidP="007D0AEC">
      <w:pPr>
        <w:widowControl w:val="0"/>
        <w:autoSpaceDE w:val="0"/>
        <w:autoSpaceDN w:val="0"/>
        <w:adjustRightInd w:val="0"/>
        <w:spacing w:after="0" w:line="360" w:lineRule="auto"/>
        <w:jc w:val="both"/>
        <w:rPr>
          <w:rFonts w:ascii="Century Gothic" w:hAnsi="Century Gothic" w:cs="FGHCHM+TimesNewRoman,Bold"/>
          <w:color w:val="000000"/>
          <w:sz w:val="24"/>
          <w:szCs w:val="24"/>
        </w:rPr>
      </w:pPr>
      <w:r w:rsidRPr="00B4668A">
        <w:rPr>
          <w:rFonts w:ascii="Century Gothic" w:hAnsi="Century Gothic" w:cs="FGHCHM+TimesNewRoman,Bold"/>
          <w:b/>
          <w:bCs/>
          <w:color w:val="000000"/>
          <w:sz w:val="24"/>
          <w:szCs w:val="24"/>
        </w:rPr>
        <w:t xml:space="preserve">Impacts potentiels sur l’environnement </w:t>
      </w:r>
      <w:r w:rsidR="000F6457">
        <w:rPr>
          <w:rFonts w:ascii="Century Gothic" w:hAnsi="Century Gothic" w:cs="FGHCHM+TimesNewRoman,Bold"/>
          <w:b/>
          <w:bCs/>
          <w:color w:val="000000"/>
          <w:sz w:val="24"/>
          <w:szCs w:val="24"/>
        </w:rPr>
        <w:t>et le milieu social</w:t>
      </w:r>
    </w:p>
    <w:p w:rsidR="002A221F" w:rsidRPr="00B4668A" w:rsidRDefault="002A221F" w:rsidP="00B4668A">
      <w:pPr>
        <w:autoSpaceDE w:val="0"/>
        <w:autoSpaceDN w:val="0"/>
        <w:adjustRightInd w:val="0"/>
        <w:spacing w:after="0" w:line="360" w:lineRule="auto"/>
        <w:ind w:left="284"/>
        <w:jc w:val="both"/>
        <w:rPr>
          <w:rFonts w:ascii="Century Gothic" w:hAnsi="Century Gothic" w:cs="GEJIJJ+TimesNewRoman"/>
          <w:color w:val="000000"/>
          <w:sz w:val="24"/>
          <w:szCs w:val="24"/>
        </w:rPr>
      </w:pPr>
    </w:p>
    <w:p w:rsidR="002A221F" w:rsidRPr="00B4668A" w:rsidRDefault="002A221F" w:rsidP="00B4668A">
      <w:pPr>
        <w:pStyle w:val="Paragraphedeliste"/>
        <w:numPr>
          <w:ilvl w:val="0"/>
          <w:numId w:val="2"/>
        </w:numPr>
        <w:autoSpaceDE w:val="0"/>
        <w:autoSpaceDN w:val="0"/>
        <w:adjustRightInd w:val="0"/>
        <w:spacing w:after="0" w:line="360" w:lineRule="auto"/>
        <w:ind w:left="284"/>
        <w:jc w:val="both"/>
        <w:rPr>
          <w:rFonts w:ascii="Century Gothic" w:hAnsi="Century Gothic" w:cs="GEJIJJ+TimesNewRoman"/>
          <w:color w:val="000000"/>
          <w:sz w:val="24"/>
          <w:szCs w:val="24"/>
        </w:rPr>
      </w:pPr>
      <w:r w:rsidRPr="00B4668A">
        <w:rPr>
          <w:rFonts w:ascii="Century Gothic" w:hAnsi="Century Gothic" w:cs="GEJIJJ+TimesNewRoman"/>
          <w:color w:val="000000"/>
          <w:sz w:val="24"/>
          <w:szCs w:val="24"/>
        </w:rPr>
        <w:t xml:space="preserve">L’évacuation des boues rouges (un mélange d’argile et de soude caustique extrêmement corrosive), les émissions que dégage la combustion des carburants et de l’électrolyse de l’aluminium ainsi que les flux de déchets liquides et de boues font partie des principaux dangers que représente pour l’environnement la production d’aluminium. Les boues rouges sont susceptibles de dégrader les eaux réceptrices et du sous-sol. </w:t>
      </w:r>
    </w:p>
    <w:p w:rsidR="002A221F" w:rsidRPr="00B4668A" w:rsidRDefault="002A221F" w:rsidP="00B4668A">
      <w:pPr>
        <w:autoSpaceDE w:val="0"/>
        <w:autoSpaceDN w:val="0"/>
        <w:adjustRightInd w:val="0"/>
        <w:spacing w:after="0" w:line="360" w:lineRule="auto"/>
        <w:ind w:left="284"/>
        <w:jc w:val="both"/>
        <w:rPr>
          <w:rFonts w:ascii="Century Gothic" w:hAnsi="Century Gothic" w:cs="GEJIJJ+TimesNewRoman"/>
          <w:color w:val="000000"/>
          <w:sz w:val="24"/>
          <w:szCs w:val="24"/>
        </w:rPr>
      </w:pPr>
    </w:p>
    <w:p w:rsidR="002A221F" w:rsidRPr="00B4668A" w:rsidRDefault="002A221F" w:rsidP="00B4668A">
      <w:pPr>
        <w:pStyle w:val="Paragraphedeliste"/>
        <w:numPr>
          <w:ilvl w:val="0"/>
          <w:numId w:val="2"/>
        </w:numPr>
        <w:autoSpaceDE w:val="0"/>
        <w:autoSpaceDN w:val="0"/>
        <w:adjustRightInd w:val="0"/>
        <w:spacing w:after="0" w:line="360" w:lineRule="auto"/>
        <w:ind w:left="284"/>
        <w:jc w:val="both"/>
        <w:rPr>
          <w:rFonts w:ascii="Century Gothic" w:hAnsi="Century Gothic" w:cs="GEJIJJ+TimesNewRoman"/>
          <w:color w:val="000000"/>
          <w:sz w:val="24"/>
          <w:szCs w:val="24"/>
        </w:rPr>
      </w:pPr>
      <w:r w:rsidRPr="00B4668A">
        <w:rPr>
          <w:rFonts w:ascii="Century Gothic" w:hAnsi="Century Gothic" w:cs="GEJIJJ+TimesNewRoman"/>
          <w:color w:val="000000"/>
          <w:sz w:val="24"/>
          <w:szCs w:val="24"/>
        </w:rPr>
        <w:lastRenderedPageBreak/>
        <w:t xml:space="preserve">Les émissions provenant de l’unité d’électrolyse se composent d’acide fluorhydrique, un gaz particulièrement corrosif et dangereux. Le magnésium et les gaz émis par les procédés de démagnésitation et de dégazage contiennent du chlore devant être épuré. La solution d’épurage doit, pour l’ensemble, être neutralisée. </w:t>
      </w:r>
    </w:p>
    <w:p w:rsidR="0050652C" w:rsidRPr="00B4668A" w:rsidRDefault="0050652C" w:rsidP="00B4668A">
      <w:pPr>
        <w:autoSpaceDE w:val="0"/>
        <w:autoSpaceDN w:val="0"/>
        <w:adjustRightInd w:val="0"/>
        <w:spacing w:after="0" w:line="360" w:lineRule="auto"/>
        <w:ind w:left="284"/>
        <w:jc w:val="both"/>
        <w:rPr>
          <w:rFonts w:ascii="Century Gothic" w:hAnsi="Century Gothic" w:cs="GEJIJJ+TimesNewRoman"/>
          <w:color w:val="000000"/>
          <w:sz w:val="24"/>
          <w:szCs w:val="24"/>
        </w:rPr>
      </w:pPr>
    </w:p>
    <w:p w:rsidR="0050652C" w:rsidRPr="00B4668A" w:rsidRDefault="002A221F" w:rsidP="00B4668A">
      <w:pPr>
        <w:pStyle w:val="Paragraphedeliste"/>
        <w:numPr>
          <w:ilvl w:val="0"/>
          <w:numId w:val="2"/>
        </w:numPr>
        <w:autoSpaceDE w:val="0"/>
        <w:autoSpaceDN w:val="0"/>
        <w:adjustRightInd w:val="0"/>
        <w:spacing w:after="0" w:line="360" w:lineRule="auto"/>
        <w:ind w:left="284"/>
        <w:jc w:val="both"/>
        <w:rPr>
          <w:rFonts w:ascii="Century Gothic" w:hAnsi="Century Gothic" w:cs="GEJIJJ+TimesNewRoman"/>
          <w:color w:val="000000"/>
          <w:sz w:val="24"/>
          <w:szCs w:val="24"/>
        </w:rPr>
      </w:pPr>
      <w:r w:rsidRPr="00B4668A">
        <w:rPr>
          <w:rFonts w:ascii="Century Gothic" w:hAnsi="Century Gothic" w:cs="GEJIJJ+TimesNewRoman"/>
          <w:color w:val="000000"/>
          <w:sz w:val="24"/>
          <w:szCs w:val="24"/>
        </w:rPr>
        <w:t xml:space="preserve">La production d’alliage ferreux est à l’origine d’importantes quantités de fines particules de poussières et de coke (grésillons de coke). Les électrofours produisent de vastes quantités de gaz toxiques qui contiennent de l’oxyde de carbone et des composés arséniques. Si les scories ne peuvent servir à d’autres fins, il est important qu’elles soient éliminées. Il est possible, grâce aux cyclones et aux filtres à sac de nettoyer les effluents gazeux ou de les purifier plus avant par des séparateurs. Une unité de réduction en boulettes peut recycler les poussières récupérées. Les activités d’épuration donnent naissance à des effluents que l’on ne peut déverser sans traitement. </w:t>
      </w:r>
    </w:p>
    <w:p w:rsidR="0050652C" w:rsidRPr="00B4668A" w:rsidRDefault="0050652C" w:rsidP="00B4668A">
      <w:pPr>
        <w:autoSpaceDE w:val="0"/>
        <w:autoSpaceDN w:val="0"/>
        <w:adjustRightInd w:val="0"/>
        <w:spacing w:after="0" w:line="360" w:lineRule="auto"/>
        <w:ind w:left="284"/>
        <w:jc w:val="both"/>
        <w:rPr>
          <w:rFonts w:ascii="Century Gothic" w:hAnsi="Century Gothic" w:cs="GEJIJJ+TimesNewRoman"/>
          <w:color w:val="000000"/>
          <w:sz w:val="24"/>
          <w:szCs w:val="24"/>
        </w:rPr>
      </w:pPr>
    </w:p>
    <w:p w:rsidR="0050652C" w:rsidRPr="00B4668A" w:rsidRDefault="002A221F" w:rsidP="00B4668A">
      <w:pPr>
        <w:pStyle w:val="Paragraphedeliste"/>
        <w:numPr>
          <w:ilvl w:val="0"/>
          <w:numId w:val="2"/>
        </w:numPr>
        <w:autoSpaceDE w:val="0"/>
        <w:autoSpaceDN w:val="0"/>
        <w:adjustRightInd w:val="0"/>
        <w:spacing w:after="0" w:line="360" w:lineRule="auto"/>
        <w:ind w:left="284"/>
        <w:jc w:val="both"/>
        <w:rPr>
          <w:rFonts w:ascii="Century Gothic" w:hAnsi="Century Gothic" w:cs="GEJIJJ+TimesNewRoman"/>
          <w:color w:val="000000"/>
          <w:sz w:val="24"/>
          <w:szCs w:val="24"/>
        </w:rPr>
      </w:pPr>
      <w:r w:rsidRPr="00B4668A">
        <w:rPr>
          <w:rFonts w:ascii="Century Gothic" w:hAnsi="Century Gothic" w:cs="GEJIJJ+TimesNewRoman"/>
          <w:color w:val="000000"/>
          <w:sz w:val="24"/>
          <w:szCs w:val="24"/>
        </w:rPr>
        <w:t xml:space="preserve">Les effets sur l’environnement </w:t>
      </w:r>
      <w:r w:rsidR="000F6457">
        <w:rPr>
          <w:rFonts w:ascii="Century Gothic" w:hAnsi="Century Gothic" w:cs="GEJIJJ+TimesNewRoman"/>
          <w:color w:val="000000"/>
          <w:sz w:val="24"/>
          <w:szCs w:val="24"/>
        </w:rPr>
        <w:t xml:space="preserve">et le milieu social </w:t>
      </w:r>
      <w:r w:rsidRPr="00B4668A">
        <w:rPr>
          <w:rFonts w:ascii="Century Gothic" w:hAnsi="Century Gothic" w:cs="GEJIJJ+TimesNewRoman"/>
          <w:color w:val="000000"/>
          <w:sz w:val="24"/>
          <w:szCs w:val="24"/>
        </w:rPr>
        <w:t xml:space="preserve">générés par la production du nickel dépendent des procédés adoptés. La production électrométallurgique de ferronickel engendrera d’importantes quantités de particules et d’oxyde de carbone ainsi que d’infimes émissions de soufre contenant des gaz. Le procédé pyrométallurgique émet des gaz riches en particules; les fours de grillage, de fusion et de conversion ainsi que les unités de génération énergétique, qui sont souvent partie intégrante des installations de production, émettent des gaz toxiques. </w:t>
      </w:r>
    </w:p>
    <w:p w:rsidR="0050652C" w:rsidRPr="00B4668A" w:rsidRDefault="0050652C" w:rsidP="00B4668A">
      <w:pPr>
        <w:autoSpaceDE w:val="0"/>
        <w:autoSpaceDN w:val="0"/>
        <w:adjustRightInd w:val="0"/>
        <w:spacing w:after="0" w:line="360" w:lineRule="auto"/>
        <w:jc w:val="both"/>
        <w:rPr>
          <w:rFonts w:ascii="Century Gothic" w:hAnsi="Century Gothic" w:cs="GEJIJJ+TimesNewRoman"/>
          <w:color w:val="000000"/>
          <w:sz w:val="24"/>
          <w:szCs w:val="24"/>
        </w:rPr>
      </w:pPr>
    </w:p>
    <w:p w:rsidR="0050652C" w:rsidRPr="00B4668A" w:rsidRDefault="002A221F" w:rsidP="00B4668A">
      <w:pPr>
        <w:pStyle w:val="Paragraphedeliste"/>
        <w:numPr>
          <w:ilvl w:val="0"/>
          <w:numId w:val="2"/>
        </w:numPr>
        <w:autoSpaceDE w:val="0"/>
        <w:autoSpaceDN w:val="0"/>
        <w:adjustRightInd w:val="0"/>
        <w:spacing w:after="0" w:line="360" w:lineRule="auto"/>
        <w:ind w:left="284"/>
        <w:jc w:val="both"/>
        <w:rPr>
          <w:rFonts w:ascii="Century Gothic" w:hAnsi="Century Gothic" w:cs="GEJIJJ+TimesNewRoman"/>
          <w:color w:val="000000"/>
          <w:sz w:val="24"/>
          <w:szCs w:val="24"/>
        </w:rPr>
      </w:pPr>
      <w:r w:rsidRPr="00B4668A">
        <w:rPr>
          <w:rFonts w:ascii="Century Gothic" w:hAnsi="Century Gothic" w:cs="GEJIJJ+TimesNewRoman"/>
          <w:color w:val="000000"/>
          <w:sz w:val="24"/>
          <w:szCs w:val="24"/>
        </w:rPr>
        <w:t xml:space="preserve">Les gaz peuvent contenir des dioxydes de soufre, des oxydes d’azote, de l’oxyde de carbone et du sulfure d’hydrogène. Les effluents sont générés par les opérations d’épuration des gaz, par le refroidissement des convertisseurs de la matte et des scories, des fours à matte et de réduction, etc. Les déchets solides se constituent de scories, de dépôts solides provenant des cuves de refroidissement et de boues produites par le traitement des déchets. Si l’on procède à la formation de carbonyle, on obtient comme substance intermédiaire du nickel-carbonyl, un gaz extrêmement toxique. </w:t>
      </w:r>
    </w:p>
    <w:p w:rsidR="0050652C" w:rsidRPr="00B4668A" w:rsidRDefault="0050652C" w:rsidP="00B4668A">
      <w:pPr>
        <w:autoSpaceDE w:val="0"/>
        <w:autoSpaceDN w:val="0"/>
        <w:adjustRightInd w:val="0"/>
        <w:spacing w:after="0" w:line="360" w:lineRule="auto"/>
        <w:ind w:left="284"/>
        <w:jc w:val="both"/>
        <w:rPr>
          <w:rFonts w:ascii="Century Gothic" w:hAnsi="Century Gothic" w:cs="GEJIJJ+TimesNewRoman"/>
          <w:color w:val="000000"/>
          <w:sz w:val="24"/>
          <w:szCs w:val="24"/>
        </w:rPr>
      </w:pPr>
    </w:p>
    <w:p w:rsidR="0050652C" w:rsidRPr="00B4668A" w:rsidRDefault="002A221F" w:rsidP="00B4668A">
      <w:pPr>
        <w:pStyle w:val="Paragraphedeliste"/>
        <w:numPr>
          <w:ilvl w:val="0"/>
          <w:numId w:val="2"/>
        </w:numPr>
        <w:autoSpaceDE w:val="0"/>
        <w:autoSpaceDN w:val="0"/>
        <w:adjustRightInd w:val="0"/>
        <w:spacing w:after="0" w:line="360" w:lineRule="auto"/>
        <w:ind w:left="284"/>
        <w:jc w:val="both"/>
        <w:rPr>
          <w:rFonts w:ascii="Century Gothic" w:hAnsi="Century Gothic" w:cs="GEJIJJ+TimesNewRoman"/>
          <w:color w:val="000000"/>
          <w:sz w:val="24"/>
          <w:szCs w:val="24"/>
        </w:rPr>
      </w:pPr>
      <w:r w:rsidRPr="00B4668A">
        <w:rPr>
          <w:rFonts w:ascii="Century Gothic" w:hAnsi="Century Gothic" w:cs="GEJIJJ+TimesNewRoman"/>
          <w:color w:val="000000"/>
          <w:sz w:val="24"/>
          <w:szCs w:val="24"/>
        </w:rPr>
        <w:t xml:space="preserve">Le cuivre en fusion et les gaz que l’on épure contiennent du dioxyde de soufre et des particules. Il y aurait lieu de récupérer le dioxyde de soufre pour le transformer en acide sulfurique. Les effluents liquides sont émis par les purges des unités de fabrication d’acides, les dispositifs de refroidissement et par les procédés de mise en boulettes des scories. Les effluents que produisent les unités de raffinage contiennent des déchets électrolytiques, des eaux de lavage cathodiques, des scories fines et des boues anodiques. </w:t>
      </w:r>
    </w:p>
    <w:p w:rsidR="0050652C" w:rsidRPr="00B4668A" w:rsidRDefault="0050652C" w:rsidP="00B4668A">
      <w:pPr>
        <w:autoSpaceDE w:val="0"/>
        <w:autoSpaceDN w:val="0"/>
        <w:adjustRightInd w:val="0"/>
        <w:spacing w:after="0" w:line="360" w:lineRule="auto"/>
        <w:ind w:left="284"/>
        <w:jc w:val="both"/>
        <w:rPr>
          <w:rFonts w:ascii="Century Gothic" w:hAnsi="Century Gothic" w:cs="GEJIJJ+TimesNewRoman"/>
          <w:color w:val="000000"/>
          <w:sz w:val="24"/>
          <w:szCs w:val="24"/>
        </w:rPr>
      </w:pPr>
    </w:p>
    <w:p w:rsidR="0050652C" w:rsidRPr="00B4668A" w:rsidRDefault="002A221F" w:rsidP="00B4668A">
      <w:pPr>
        <w:pStyle w:val="Paragraphedeliste"/>
        <w:numPr>
          <w:ilvl w:val="0"/>
          <w:numId w:val="2"/>
        </w:numPr>
        <w:autoSpaceDE w:val="0"/>
        <w:autoSpaceDN w:val="0"/>
        <w:adjustRightInd w:val="0"/>
        <w:spacing w:after="0" w:line="360" w:lineRule="auto"/>
        <w:ind w:left="284"/>
        <w:jc w:val="both"/>
        <w:rPr>
          <w:rFonts w:ascii="Century Gothic" w:hAnsi="Century Gothic" w:cs="GEJIJJ+TimesNewRoman"/>
          <w:color w:val="000000"/>
          <w:sz w:val="24"/>
          <w:szCs w:val="24"/>
        </w:rPr>
      </w:pPr>
      <w:r w:rsidRPr="00B4668A">
        <w:rPr>
          <w:rFonts w:ascii="Century Gothic" w:hAnsi="Century Gothic" w:cs="GEJIJJ+TimesNewRoman"/>
          <w:color w:val="000000"/>
          <w:sz w:val="24"/>
          <w:szCs w:val="24"/>
        </w:rPr>
        <w:t xml:space="preserve">La production secondaire de cuivre donne naissance à des effluents émis par des opérations telles que le fraisage des scories, le matériel antipollution dont sont équipés les fours de fusion, les systèmes le refroidissement par contact, par les électrolytes et la mise en boulettes des scories. Les déchets solides proviennent principalement des épurateurs d’air, des cyclones, des précipitateurs et des scories de fourneaux; la production secondaire de cuivre génère des débris de cuivre ou des déchets prétraités. </w:t>
      </w:r>
    </w:p>
    <w:p w:rsidR="0050652C" w:rsidRPr="00B4668A" w:rsidRDefault="0050652C" w:rsidP="00B4668A">
      <w:pPr>
        <w:autoSpaceDE w:val="0"/>
        <w:autoSpaceDN w:val="0"/>
        <w:adjustRightInd w:val="0"/>
        <w:spacing w:after="0" w:line="360" w:lineRule="auto"/>
        <w:ind w:left="284"/>
        <w:jc w:val="both"/>
        <w:rPr>
          <w:rFonts w:ascii="Century Gothic" w:hAnsi="Century Gothic" w:cs="GEJIJJ+TimesNewRoman"/>
          <w:color w:val="000000"/>
          <w:sz w:val="24"/>
          <w:szCs w:val="24"/>
        </w:rPr>
      </w:pPr>
    </w:p>
    <w:p w:rsidR="0050652C" w:rsidRPr="00B4668A" w:rsidRDefault="002A221F" w:rsidP="00B4668A">
      <w:pPr>
        <w:autoSpaceDE w:val="0"/>
        <w:autoSpaceDN w:val="0"/>
        <w:adjustRightInd w:val="0"/>
        <w:spacing w:after="0" w:line="360" w:lineRule="auto"/>
        <w:jc w:val="both"/>
        <w:rPr>
          <w:rFonts w:ascii="Century Gothic" w:hAnsi="Century Gothic" w:cs="GEJIJJ+TimesNewRoman"/>
          <w:color w:val="000000"/>
          <w:sz w:val="24"/>
          <w:szCs w:val="24"/>
        </w:rPr>
      </w:pPr>
      <w:r w:rsidRPr="00B4668A">
        <w:rPr>
          <w:rFonts w:ascii="Century Gothic" w:hAnsi="Century Gothic" w:cs="GEJIJJ+TimesNewRoman"/>
          <w:color w:val="000000"/>
          <w:sz w:val="24"/>
          <w:szCs w:val="24"/>
        </w:rPr>
        <w:t xml:space="preserve">Les polluants de l’air dont est responsable le traitement du plomb entrepris dans les unités de frittage comprennent des particules, du dioxyde de soufre, de l’arsenic, de l’antimoine et du cadmium </w:t>
      </w:r>
    </w:p>
    <w:p w:rsidR="0050652C" w:rsidRPr="00B4668A" w:rsidRDefault="0050652C" w:rsidP="00B4668A">
      <w:pPr>
        <w:autoSpaceDE w:val="0"/>
        <w:autoSpaceDN w:val="0"/>
        <w:adjustRightInd w:val="0"/>
        <w:spacing w:after="0" w:line="360" w:lineRule="auto"/>
        <w:jc w:val="both"/>
        <w:rPr>
          <w:rFonts w:ascii="Century Gothic" w:hAnsi="Century Gothic" w:cs="GEJIJJ+TimesNewRoman"/>
          <w:color w:val="000000"/>
          <w:sz w:val="24"/>
          <w:szCs w:val="24"/>
        </w:rPr>
      </w:pPr>
    </w:p>
    <w:p w:rsidR="0050652C" w:rsidRPr="00B4668A" w:rsidRDefault="002A221F" w:rsidP="00B4668A">
      <w:pPr>
        <w:pStyle w:val="Paragraphedeliste"/>
        <w:numPr>
          <w:ilvl w:val="0"/>
          <w:numId w:val="2"/>
        </w:numPr>
        <w:autoSpaceDE w:val="0"/>
        <w:autoSpaceDN w:val="0"/>
        <w:adjustRightInd w:val="0"/>
        <w:spacing w:after="0" w:line="360" w:lineRule="auto"/>
        <w:ind w:left="284"/>
        <w:jc w:val="both"/>
        <w:rPr>
          <w:rFonts w:ascii="Century Gothic" w:hAnsi="Century Gothic" w:cs="GEJIJJ+TimesNewRoman"/>
          <w:color w:val="000000"/>
          <w:sz w:val="24"/>
          <w:szCs w:val="24"/>
        </w:rPr>
      </w:pPr>
      <w:r w:rsidRPr="00B4668A">
        <w:rPr>
          <w:rFonts w:ascii="Century Gothic" w:hAnsi="Century Gothic" w:cs="GEJIJJ+TimesNewRoman"/>
          <w:color w:val="000000"/>
          <w:sz w:val="24"/>
          <w:szCs w:val="24"/>
        </w:rPr>
        <w:t xml:space="preserve">L’unité d’acide sulfurique devrait récupérer le flux de dioxyde de soufre extrêmement concentré auquel donnent naissance les hauts fourneaux. Il faudrait que des équipements de filtres à manche et d’épurateurs éliminent les particules dont la teneur en plomb est forte. </w:t>
      </w:r>
    </w:p>
    <w:p w:rsidR="0050652C" w:rsidRPr="00B4668A" w:rsidRDefault="0050652C" w:rsidP="00B4668A">
      <w:pPr>
        <w:autoSpaceDE w:val="0"/>
        <w:autoSpaceDN w:val="0"/>
        <w:adjustRightInd w:val="0"/>
        <w:spacing w:after="0" w:line="360" w:lineRule="auto"/>
        <w:jc w:val="both"/>
        <w:rPr>
          <w:rFonts w:ascii="Century Gothic" w:hAnsi="Century Gothic" w:cs="GEJIJJ+TimesNewRoman"/>
          <w:color w:val="000000"/>
          <w:sz w:val="24"/>
          <w:szCs w:val="24"/>
        </w:rPr>
      </w:pPr>
    </w:p>
    <w:p w:rsidR="0050652C" w:rsidRPr="00B4668A" w:rsidRDefault="002A221F" w:rsidP="00B4668A">
      <w:pPr>
        <w:pStyle w:val="Paragraphedeliste"/>
        <w:numPr>
          <w:ilvl w:val="0"/>
          <w:numId w:val="2"/>
        </w:numPr>
        <w:autoSpaceDE w:val="0"/>
        <w:autoSpaceDN w:val="0"/>
        <w:adjustRightInd w:val="0"/>
        <w:spacing w:after="0" w:line="360" w:lineRule="auto"/>
        <w:ind w:left="284"/>
        <w:jc w:val="both"/>
        <w:rPr>
          <w:rFonts w:ascii="Century Gothic" w:hAnsi="Century Gothic" w:cs="GEJIJJ+TimesNewRoman"/>
          <w:color w:val="000000"/>
          <w:sz w:val="24"/>
          <w:szCs w:val="24"/>
        </w:rPr>
      </w:pPr>
      <w:r w:rsidRPr="00B4668A">
        <w:rPr>
          <w:rFonts w:ascii="Century Gothic" w:hAnsi="Century Gothic" w:cs="GEJIJJ+TimesNewRoman"/>
          <w:color w:val="000000"/>
          <w:sz w:val="24"/>
          <w:szCs w:val="24"/>
        </w:rPr>
        <w:t xml:space="preserve">Les épurateurs des unités de frittage, les installations de vidange des acides et autres épurateurs employés dans l’usine génèrent des effluents aqueux susceptibles de contenir des métaux toxiques. La mise en boulettes des scories constitue une autre source d’effluents qui contiennent du plomb, du zinc, du cuivre et du cadmium. Les </w:t>
      </w:r>
      <w:r w:rsidRPr="00B4668A">
        <w:rPr>
          <w:rFonts w:ascii="Century Gothic" w:hAnsi="Century Gothic" w:cs="GEJIJJ+TimesNewRoman"/>
          <w:color w:val="000000"/>
          <w:sz w:val="24"/>
          <w:szCs w:val="24"/>
        </w:rPr>
        <w:lastRenderedPageBreak/>
        <w:t xml:space="preserve">déchets solides engendrés par les filtres à manche, les cyclones, etc. peuvent, pour la plupart, être recyclés dans l’usine. </w:t>
      </w:r>
    </w:p>
    <w:p w:rsidR="0050652C" w:rsidRPr="00B4668A" w:rsidRDefault="0050652C" w:rsidP="00B4668A">
      <w:pPr>
        <w:autoSpaceDE w:val="0"/>
        <w:autoSpaceDN w:val="0"/>
        <w:adjustRightInd w:val="0"/>
        <w:spacing w:after="0" w:line="360" w:lineRule="auto"/>
        <w:ind w:left="284"/>
        <w:jc w:val="both"/>
        <w:rPr>
          <w:rFonts w:ascii="Century Gothic" w:hAnsi="Century Gothic" w:cs="GEJIJJ+TimesNewRoman"/>
          <w:color w:val="000000"/>
          <w:sz w:val="24"/>
          <w:szCs w:val="24"/>
        </w:rPr>
      </w:pPr>
    </w:p>
    <w:p w:rsidR="0050652C" w:rsidRPr="00B4668A" w:rsidRDefault="002A221F" w:rsidP="00B4668A">
      <w:pPr>
        <w:pStyle w:val="Paragraphedeliste"/>
        <w:numPr>
          <w:ilvl w:val="0"/>
          <w:numId w:val="2"/>
        </w:numPr>
        <w:autoSpaceDE w:val="0"/>
        <w:autoSpaceDN w:val="0"/>
        <w:adjustRightInd w:val="0"/>
        <w:spacing w:after="0" w:line="360" w:lineRule="auto"/>
        <w:ind w:left="284"/>
        <w:jc w:val="both"/>
        <w:rPr>
          <w:rFonts w:ascii="Century Gothic" w:hAnsi="Century Gothic" w:cs="GEJIJJ+TimesNewRoman"/>
          <w:color w:val="000000"/>
          <w:sz w:val="24"/>
          <w:szCs w:val="24"/>
        </w:rPr>
      </w:pPr>
      <w:r w:rsidRPr="00B4668A">
        <w:rPr>
          <w:rFonts w:ascii="Century Gothic" w:hAnsi="Century Gothic" w:cs="GEJIJJ+TimesNewRoman"/>
          <w:color w:val="000000"/>
          <w:sz w:val="24"/>
          <w:szCs w:val="24"/>
        </w:rPr>
        <w:t xml:space="preserve">Les usines secondaires de plomb produisent des effluents contenant de l’acide émis par les batteries fêlées des laveurs et provenant du matériel d’épuration destiné à lutter contre la pollution atmosphérique. Il serait bon de les maintenir à l’écart des autres déchets et de ne pas déverser l’acide d’accumulateurs pollué par des métaux tels que le plomb, l’antimoine, le cadmium, l’arsenic et le zinc. </w:t>
      </w:r>
    </w:p>
    <w:p w:rsidR="0050652C" w:rsidRPr="00B4668A" w:rsidRDefault="0050652C" w:rsidP="00B4668A">
      <w:pPr>
        <w:autoSpaceDE w:val="0"/>
        <w:autoSpaceDN w:val="0"/>
        <w:adjustRightInd w:val="0"/>
        <w:spacing w:after="0" w:line="360" w:lineRule="auto"/>
        <w:ind w:left="284"/>
        <w:jc w:val="both"/>
        <w:rPr>
          <w:rFonts w:ascii="Century Gothic" w:hAnsi="Century Gothic" w:cs="GEJIJJ+TimesNewRoman"/>
          <w:color w:val="000000"/>
          <w:sz w:val="24"/>
          <w:szCs w:val="24"/>
        </w:rPr>
      </w:pPr>
    </w:p>
    <w:p w:rsidR="0050652C" w:rsidRPr="00B4668A" w:rsidRDefault="002A221F" w:rsidP="00B4668A">
      <w:pPr>
        <w:pStyle w:val="Paragraphedeliste"/>
        <w:numPr>
          <w:ilvl w:val="0"/>
          <w:numId w:val="2"/>
        </w:numPr>
        <w:autoSpaceDE w:val="0"/>
        <w:autoSpaceDN w:val="0"/>
        <w:adjustRightInd w:val="0"/>
        <w:spacing w:after="0" w:line="360" w:lineRule="auto"/>
        <w:ind w:left="284"/>
        <w:jc w:val="both"/>
        <w:rPr>
          <w:rFonts w:ascii="Century Gothic" w:hAnsi="Century Gothic" w:cs="GEJIJJ+TimesNewRoman"/>
          <w:color w:val="000000"/>
          <w:sz w:val="24"/>
          <w:szCs w:val="24"/>
        </w:rPr>
      </w:pPr>
      <w:r w:rsidRPr="00B4668A">
        <w:rPr>
          <w:rFonts w:ascii="Century Gothic" w:hAnsi="Century Gothic" w:cs="GEJIJJ+TimesNewRoman"/>
          <w:color w:val="000000"/>
          <w:sz w:val="24"/>
          <w:szCs w:val="24"/>
        </w:rPr>
        <w:t xml:space="preserve">Les émissions produites par le traitement pyrométallurgique du zinc renferment du dioxyde de soufre, de l’arsenic, du plomb et du cadmium. Le dioxyde de soufre est récupéré pour la production d’acide sulfurique. L’oxyde de carbone constitue un important composé formé par la réduction des effluents gazeux. Les vapeurs de zinc non condensées sont épurées pour être ensuite réintroduites dans les unités de raffinage. Le traitement électrométallurgique du zinc engendre les mêmes émissions atmosphériques, contenant parfois du mercure (qu’un épurateur sépare). Les effluents provenant des épurateurs, du système de vidange des unités d’acide et de lessivage sont susceptibles de contenir les mêmes éléments que l’on retrouve dans les émissions atmosphériques. </w:t>
      </w:r>
    </w:p>
    <w:p w:rsidR="0050652C" w:rsidRPr="00B4668A" w:rsidRDefault="0050652C" w:rsidP="00B4668A">
      <w:pPr>
        <w:autoSpaceDE w:val="0"/>
        <w:autoSpaceDN w:val="0"/>
        <w:adjustRightInd w:val="0"/>
        <w:spacing w:after="0" w:line="360" w:lineRule="auto"/>
        <w:ind w:left="284"/>
        <w:jc w:val="both"/>
        <w:rPr>
          <w:rFonts w:ascii="Century Gothic" w:hAnsi="Century Gothic" w:cs="GEJIJJ+TimesNewRoman"/>
          <w:color w:val="000000"/>
          <w:sz w:val="24"/>
          <w:szCs w:val="24"/>
        </w:rPr>
      </w:pPr>
    </w:p>
    <w:p w:rsidR="0050652C" w:rsidRPr="00B4668A" w:rsidRDefault="002A221F" w:rsidP="00B4668A">
      <w:pPr>
        <w:pStyle w:val="Paragraphedeliste"/>
        <w:numPr>
          <w:ilvl w:val="0"/>
          <w:numId w:val="2"/>
        </w:numPr>
        <w:autoSpaceDE w:val="0"/>
        <w:autoSpaceDN w:val="0"/>
        <w:adjustRightInd w:val="0"/>
        <w:spacing w:after="0" w:line="360" w:lineRule="auto"/>
        <w:ind w:left="284"/>
        <w:jc w:val="both"/>
        <w:rPr>
          <w:rFonts w:ascii="Century Gothic" w:hAnsi="Century Gothic" w:cs="GEJIJJ+TimesNewRoman"/>
          <w:color w:val="000000"/>
          <w:sz w:val="24"/>
          <w:szCs w:val="24"/>
        </w:rPr>
      </w:pPr>
      <w:r w:rsidRPr="00B4668A">
        <w:rPr>
          <w:rFonts w:ascii="Century Gothic" w:hAnsi="Century Gothic" w:cs="GEJIJJ+TimesNewRoman"/>
          <w:color w:val="000000"/>
          <w:sz w:val="24"/>
          <w:szCs w:val="24"/>
        </w:rPr>
        <w:t xml:space="preserve">Les déchets solides renfermant de substantielles quantités d’autres métaux sont généralement vendus à d’autres usines de traitement, à l’exception du cadmium qui, la plupart du temps, est récupéré par l’usine de fabrication du zinc. (Pour de plus amples détails concernant les effets de l’industrie des métaux non ferreux sur l’environnement, se reporter au tableau </w:t>
      </w:r>
      <w:r w:rsidR="000F6457">
        <w:rPr>
          <w:rFonts w:ascii="Century Gothic" w:hAnsi="Century Gothic" w:cs="GEJIJJ+TimesNewRoman"/>
          <w:color w:val="000000"/>
          <w:sz w:val="24"/>
          <w:szCs w:val="24"/>
        </w:rPr>
        <w:t>en fin du document</w:t>
      </w:r>
      <w:r w:rsidRPr="00B4668A">
        <w:rPr>
          <w:rFonts w:ascii="Century Gothic" w:hAnsi="Century Gothic" w:cs="GEJIJJ+TimesNewRoman"/>
          <w:color w:val="000000"/>
          <w:sz w:val="24"/>
          <w:szCs w:val="24"/>
        </w:rPr>
        <w:t xml:space="preserve">.) </w:t>
      </w:r>
    </w:p>
    <w:p w:rsidR="00FE41A1" w:rsidRDefault="00FE41A1" w:rsidP="007D0AEC">
      <w:pPr>
        <w:autoSpaceDE w:val="0"/>
        <w:autoSpaceDN w:val="0"/>
        <w:adjustRightInd w:val="0"/>
        <w:spacing w:after="0" w:line="360" w:lineRule="auto"/>
        <w:ind w:firstLine="284"/>
        <w:jc w:val="both"/>
        <w:rPr>
          <w:rFonts w:ascii="Century Gothic" w:hAnsi="Century Gothic" w:cs="FGHCHM+TimesNewRoman,Bold"/>
          <w:b/>
          <w:bCs/>
          <w:color w:val="000000"/>
          <w:sz w:val="24"/>
          <w:szCs w:val="24"/>
        </w:rPr>
        <w:sectPr w:rsidR="00FE41A1" w:rsidSect="0044695B">
          <w:headerReference w:type="default" r:id="rId8"/>
          <w:pgSz w:w="12240" w:h="16340"/>
          <w:pgMar w:top="1147" w:right="1027" w:bottom="1114" w:left="982" w:header="720" w:footer="720" w:gutter="0"/>
          <w:cols w:space="720"/>
          <w:noEndnote/>
        </w:sectPr>
      </w:pPr>
    </w:p>
    <w:p w:rsidR="0050652C" w:rsidRDefault="002A221F" w:rsidP="007D0AEC">
      <w:pPr>
        <w:autoSpaceDE w:val="0"/>
        <w:autoSpaceDN w:val="0"/>
        <w:adjustRightInd w:val="0"/>
        <w:spacing w:after="0" w:line="360" w:lineRule="auto"/>
        <w:ind w:firstLine="284"/>
        <w:jc w:val="both"/>
        <w:rPr>
          <w:rFonts w:ascii="Century Gothic" w:hAnsi="Century Gothic" w:cs="FGHCHM+TimesNewRoman,Bold"/>
          <w:b/>
          <w:bCs/>
          <w:color w:val="000000"/>
          <w:sz w:val="24"/>
          <w:szCs w:val="24"/>
        </w:rPr>
      </w:pPr>
      <w:r w:rsidRPr="00B4668A">
        <w:rPr>
          <w:rFonts w:ascii="Century Gothic" w:hAnsi="Century Gothic" w:cs="FGHCHM+TimesNewRoman,Bold"/>
          <w:b/>
          <w:bCs/>
          <w:color w:val="000000"/>
          <w:sz w:val="24"/>
          <w:szCs w:val="24"/>
        </w:rPr>
        <w:lastRenderedPageBreak/>
        <w:t xml:space="preserve">Enjeux spécifiques </w:t>
      </w:r>
    </w:p>
    <w:p w:rsidR="007D0AEC" w:rsidRPr="00B4668A" w:rsidRDefault="007D0AEC" w:rsidP="007D0AEC">
      <w:pPr>
        <w:autoSpaceDE w:val="0"/>
        <w:autoSpaceDN w:val="0"/>
        <w:adjustRightInd w:val="0"/>
        <w:spacing w:after="0" w:line="360" w:lineRule="auto"/>
        <w:ind w:firstLine="284"/>
        <w:jc w:val="both"/>
        <w:rPr>
          <w:rFonts w:ascii="Century Gothic" w:hAnsi="Century Gothic" w:cs="FGHCHM+TimesNewRoman,Bold"/>
          <w:color w:val="000000"/>
          <w:sz w:val="24"/>
          <w:szCs w:val="24"/>
        </w:rPr>
      </w:pPr>
    </w:p>
    <w:p w:rsidR="002A221F" w:rsidRPr="00B4668A" w:rsidRDefault="002A221F" w:rsidP="007D0AEC">
      <w:pPr>
        <w:autoSpaceDE w:val="0"/>
        <w:autoSpaceDN w:val="0"/>
        <w:adjustRightInd w:val="0"/>
        <w:spacing w:after="0" w:line="360" w:lineRule="auto"/>
        <w:ind w:firstLine="284"/>
        <w:jc w:val="both"/>
        <w:rPr>
          <w:rFonts w:ascii="Century Gothic" w:hAnsi="Century Gothic" w:cs="FGHCHM+TimesNewRoman,Bold"/>
          <w:color w:val="000000"/>
          <w:sz w:val="24"/>
          <w:szCs w:val="24"/>
        </w:rPr>
      </w:pPr>
      <w:r w:rsidRPr="00B4668A">
        <w:rPr>
          <w:rFonts w:ascii="Century Gothic" w:hAnsi="Century Gothic" w:cs="FGHCHM+TimesNewRoman,Bold"/>
          <w:b/>
          <w:bCs/>
          <w:color w:val="000000"/>
          <w:sz w:val="24"/>
          <w:szCs w:val="24"/>
        </w:rPr>
        <w:t xml:space="preserve">Qualité de l’air </w:t>
      </w:r>
    </w:p>
    <w:p w:rsidR="002A221F" w:rsidRPr="00B4668A" w:rsidRDefault="002A221F" w:rsidP="00B4668A">
      <w:pPr>
        <w:autoSpaceDE w:val="0"/>
        <w:autoSpaceDN w:val="0"/>
        <w:adjustRightInd w:val="0"/>
        <w:spacing w:after="0" w:line="360" w:lineRule="auto"/>
        <w:jc w:val="both"/>
        <w:rPr>
          <w:rFonts w:ascii="Century Gothic" w:hAnsi="Century Gothic" w:cs="GEJIJJ+TimesNewRoman"/>
          <w:color w:val="000000"/>
          <w:sz w:val="24"/>
          <w:szCs w:val="24"/>
        </w:rPr>
      </w:pPr>
    </w:p>
    <w:p w:rsidR="002A221F" w:rsidRPr="00B4668A" w:rsidRDefault="002A221F" w:rsidP="00B4668A">
      <w:pPr>
        <w:pStyle w:val="Paragraphedeliste"/>
        <w:numPr>
          <w:ilvl w:val="0"/>
          <w:numId w:val="2"/>
        </w:numPr>
        <w:autoSpaceDE w:val="0"/>
        <w:autoSpaceDN w:val="0"/>
        <w:adjustRightInd w:val="0"/>
        <w:spacing w:after="0" w:line="360" w:lineRule="auto"/>
        <w:ind w:left="284"/>
        <w:jc w:val="both"/>
        <w:rPr>
          <w:rFonts w:ascii="Century Gothic" w:hAnsi="Century Gothic" w:cs="GEJIJJ+TimesNewRoman"/>
          <w:color w:val="000000"/>
          <w:sz w:val="24"/>
          <w:szCs w:val="24"/>
        </w:rPr>
      </w:pPr>
      <w:r w:rsidRPr="00B4668A">
        <w:rPr>
          <w:rFonts w:ascii="Century Gothic" w:hAnsi="Century Gothic" w:cs="GEJIJJ+TimesNewRoman"/>
          <w:color w:val="000000"/>
          <w:sz w:val="24"/>
          <w:szCs w:val="24"/>
        </w:rPr>
        <w:t xml:space="preserve">La production d’aluminium à partir de l’électrolyse de l’alumine est à l’origine d’émissions de fluor qui renferme des gaz pouvant être très dangereux pour la santé humaine et pour l’environnement. Un suivi minutieux de ces émissions s’impose. On procède généralement à l’épuration de ces gaz par voie sèche en se servant de la poudre d’alumine qui élimine l’ensemble du fluor. Le reste doit être éliminé en employant une épuration alcaline humide. </w:t>
      </w:r>
    </w:p>
    <w:p w:rsidR="0050652C" w:rsidRPr="00B4668A" w:rsidRDefault="0050652C" w:rsidP="00B4668A">
      <w:pPr>
        <w:autoSpaceDE w:val="0"/>
        <w:autoSpaceDN w:val="0"/>
        <w:adjustRightInd w:val="0"/>
        <w:spacing w:after="0" w:line="360" w:lineRule="auto"/>
        <w:ind w:left="284"/>
        <w:jc w:val="both"/>
        <w:rPr>
          <w:rFonts w:ascii="Century Gothic" w:hAnsi="Century Gothic" w:cs="GEJIJJ+TimesNewRoman"/>
          <w:color w:val="000000"/>
          <w:sz w:val="24"/>
          <w:szCs w:val="24"/>
        </w:rPr>
      </w:pPr>
    </w:p>
    <w:p w:rsidR="0050652C" w:rsidRPr="00B4668A" w:rsidRDefault="002A221F" w:rsidP="00B4668A">
      <w:pPr>
        <w:pStyle w:val="Paragraphedeliste"/>
        <w:numPr>
          <w:ilvl w:val="0"/>
          <w:numId w:val="2"/>
        </w:numPr>
        <w:autoSpaceDE w:val="0"/>
        <w:autoSpaceDN w:val="0"/>
        <w:adjustRightInd w:val="0"/>
        <w:spacing w:after="0" w:line="360" w:lineRule="auto"/>
        <w:ind w:left="284"/>
        <w:jc w:val="both"/>
        <w:rPr>
          <w:rFonts w:ascii="Century Gothic" w:hAnsi="Century Gothic" w:cs="GEJIJJ+TimesNewRoman"/>
          <w:color w:val="000000"/>
          <w:sz w:val="24"/>
          <w:szCs w:val="24"/>
        </w:rPr>
      </w:pPr>
      <w:r w:rsidRPr="00B4668A">
        <w:rPr>
          <w:rFonts w:ascii="Century Gothic" w:hAnsi="Century Gothic" w:cs="GEJIJJ+TimesNewRoman"/>
          <w:color w:val="000000"/>
          <w:sz w:val="24"/>
          <w:szCs w:val="24"/>
        </w:rPr>
        <w:t xml:space="preserve">La production de ferrochrome et de ferromanganèse peuvent être à la source d’importantes émissions de particules. Le choix du four (ouvert, semi-ouvert ou fermé) et la décision d’inclure une unité de mise en boulettes permettant de recycler les particules, lors de la phase de conception du projet, peuvent contribuer à résorber ces émissions. </w:t>
      </w:r>
    </w:p>
    <w:p w:rsidR="0050652C" w:rsidRPr="00B4668A" w:rsidRDefault="0050652C" w:rsidP="00B4668A">
      <w:pPr>
        <w:autoSpaceDE w:val="0"/>
        <w:autoSpaceDN w:val="0"/>
        <w:adjustRightInd w:val="0"/>
        <w:spacing w:after="0" w:line="360" w:lineRule="auto"/>
        <w:ind w:left="284"/>
        <w:jc w:val="both"/>
        <w:rPr>
          <w:rFonts w:ascii="Century Gothic" w:hAnsi="Century Gothic" w:cs="GEJIJJ+TimesNewRoman"/>
          <w:color w:val="000000"/>
          <w:sz w:val="24"/>
          <w:szCs w:val="24"/>
        </w:rPr>
      </w:pPr>
    </w:p>
    <w:p w:rsidR="0050652C" w:rsidRPr="00B4668A" w:rsidRDefault="002A221F" w:rsidP="007D0AEC">
      <w:pPr>
        <w:pStyle w:val="Paragraphedeliste"/>
        <w:widowControl w:val="0"/>
        <w:numPr>
          <w:ilvl w:val="0"/>
          <w:numId w:val="2"/>
        </w:numPr>
        <w:autoSpaceDE w:val="0"/>
        <w:autoSpaceDN w:val="0"/>
        <w:adjustRightInd w:val="0"/>
        <w:spacing w:after="0" w:line="360" w:lineRule="auto"/>
        <w:ind w:left="284"/>
        <w:jc w:val="both"/>
        <w:rPr>
          <w:rFonts w:ascii="Century Gothic" w:hAnsi="Century Gothic" w:cs="GEJIJJ+TimesNewRoman"/>
          <w:color w:val="000000"/>
          <w:sz w:val="24"/>
          <w:szCs w:val="24"/>
        </w:rPr>
      </w:pPr>
      <w:r w:rsidRPr="00B4668A">
        <w:rPr>
          <w:rFonts w:ascii="Century Gothic" w:hAnsi="Century Gothic" w:cs="GEJIJJ+TimesNewRoman"/>
          <w:color w:val="000000"/>
          <w:sz w:val="24"/>
          <w:szCs w:val="24"/>
        </w:rPr>
        <w:t xml:space="preserve">Le dioxyde de soufre provenant du frittage des minerais sulfurés est, dans la plupart des usines, récupéré, épuré et employé à alimenter les unités de production d’acide sulfurique. L’épuration des gaz engendre des effluents contenant de l’arsenic, du sélénium et d’autres sels métalliques que l’on ne peut déverser dans les eaux naturelles et que l’on doit traiter pour en éliminer ces substances.  </w:t>
      </w:r>
    </w:p>
    <w:p w:rsidR="007D0AEC" w:rsidRDefault="007D0AEC" w:rsidP="007D0AEC">
      <w:pPr>
        <w:widowControl w:val="0"/>
        <w:autoSpaceDE w:val="0"/>
        <w:autoSpaceDN w:val="0"/>
        <w:adjustRightInd w:val="0"/>
        <w:spacing w:after="0" w:line="360" w:lineRule="auto"/>
        <w:ind w:firstLine="284"/>
        <w:jc w:val="both"/>
        <w:rPr>
          <w:rFonts w:ascii="Century Gothic" w:hAnsi="Century Gothic" w:cs="FGHCHM+TimesNewRoman,Bold"/>
          <w:b/>
          <w:bCs/>
          <w:color w:val="000000"/>
          <w:sz w:val="24"/>
          <w:szCs w:val="24"/>
        </w:rPr>
      </w:pPr>
    </w:p>
    <w:p w:rsidR="0050652C" w:rsidRPr="00B4668A" w:rsidRDefault="002A221F" w:rsidP="007D0AEC">
      <w:pPr>
        <w:widowControl w:val="0"/>
        <w:autoSpaceDE w:val="0"/>
        <w:autoSpaceDN w:val="0"/>
        <w:adjustRightInd w:val="0"/>
        <w:spacing w:after="0" w:line="360" w:lineRule="auto"/>
        <w:ind w:firstLine="284"/>
        <w:jc w:val="both"/>
        <w:rPr>
          <w:rFonts w:ascii="Century Gothic" w:hAnsi="Century Gothic" w:cs="FGHCHM+TimesNewRoman,Bold"/>
          <w:color w:val="000000"/>
          <w:sz w:val="24"/>
          <w:szCs w:val="24"/>
        </w:rPr>
      </w:pPr>
      <w:r w:rsidRPr="00B4668A">
        <w:rPr>
          <w:rFonts w:ascii="Century Gothic" w:hAnsi="Century Gothic" w:cs="FGHCHM+TimesNewRoman,Bold"/>
          <w:b/>
          <w:bCs/>
          <w:color w:val="000000"/>
          <w:sz w:val="24"/>
          <w:szCs w:val="24"/>
        </w:rPr>
        <w:t xml:space="preserve">Effluents </w:t>
      </w:r>
    </w:p>
    <w:p w:rsidR="0050652C" w:rsidRPr="00B4668A" w:rsidRDefault="0050652C" w:rsidP="007D0AEC">
      <w:pPr>
        <w:widowControl w:val="0"/>
        <w:autoSpaceDE w:val="0"/>
        <w:autoSpaceDN w:val="0"/>
        <w:adjustRightInd w:val="0"/>
        <w:spacing w:after="0" w:line="360" w:lineRule="auto"/>
        <w:jc w:val="both"/>
        <w:rPr>
          <w:rFonts w:ascii="Century Gothic" w:hAnsi="Century Gothic" w:cs="GEJIJJ+TimesNewRoman"/>
          <w:color w:val="000000"/>
          <w:sz w:val="24"/>
          <w:szCs w:val="24"/>
        </w:rPr>
      </w:pPr>
    </w:p>
    <w:p w:rsidR="0050652C" w:rsidRPr="00B4668A" w:rsidRDefault="002A221F" w:rsidP="00B4668A">
      <w:pPr>
        <w:pStyle w:val="Paragraphedeliste"/>
        <w:numPr>
          <w:ilvl w:val="0"/>
          <w:numId w:val="2"/>
        </w:numPr>
        <w:autoSpaceDE w:val="0"/>
        <w:autoSpaceDN w:val="0"/>
        <w:adjustRightInd w:val="0"/>
        <w:spacing w:after="0" w:line="360" w:lineRule="auto"/>
        <w:ind w:left="284"/>
        <w:jc w:val="both"/>
        <w:rPr>
          <w:rFonts w:ascii="Century Gothic" w:hAnsi="Century Gothic" w:cs="GEJIJJ+TimesNewRoman"/>
          <w:color w:val="000000"/>
          <w:sz w:val="24"/>
          <w:szCs w:val="24"/>
        </w:rPr>
      </w:pPr>
      <w:r w:rsidRPr="00B4668A">
        <w:rPr>
          <w:rFonts w:ascii="Century Gothic" w:hAnsi="Century Gothic" w:cs="GEJIJJ+TimesNewRoman"/>
          <w:color w:val="000000"/>
          <w:sz w:val="24"/>
          <w:szCs w:val="24"/>
        </w:rPr>
        <w:t xml:space="preserve">En règle générale, les eaux usées ne représentent pas un problème à proprement parler si l’on adopte une bonne gestion accompagnée d’un suivi approprié. Toutes les particules devraient, dans la mesure du possible, se déposer et être éliminées de manière à remettre les eaux en circulation après traitement, si besoin est. On ne doit permettre aucun rejet d’eau provenant du traitement du cuivre, du chrome, du manganèse, du nickel, du zinc et du plomb et dont les concentrations en ions </w:t>
      </w:r>
      <w:r w:rsidRPr="00B4668A">
        <w:rPr>
          <w:rFonts w:ascii="Century Gothic" w:hAnsi="Century Gothic" w:cs="GEJIJJ+TimesNewRoman"/>
          <w:color w:val="000000"/>
          <w:sz w:val="24"/>
          <w:szCs w:val="24"/>
        </w:rPr>
        <w:lastRenderedPageBreak/>
        <w:t xml:space="preserve">métalliques (sels métalliques) dépassent les limites indiquées dans les </w:t>
      </w:r>
      <w:r w:rsidRPr="00B4668A">
        <w:rPr>
          <w:rFonts w:ascii="Century Gothic" w:hAnsi="Century Gothic" w:cs="GEJLGE+TimesNewRoman,Italic"/>
          <w:color w:val="000000"/>
          <w:sz w:val="24"/>
          <w:szCs w:val="24"/>
        </w:rPr>
        <w:t xml:space="preserve">Lignes directrices en matière d’environnement </w:t>
      </w:r>
      <w:r w:rsidRPr="00B4668A">
        <w:rPr>
          <w:rFonts w:ascii="Century Gothic" w:hAnsi="Century Gothic" w:cs="GEJIJJ+TimesNewRoman"/>
          <w:color w:val="000000"/>
          <w:sz w:val="24"/>
          <w:szCs w:val="24"/>
        </w:rPr>
        <w:t xml:space="preserve">adoptées par la Banque Ouest Africaine de Développement. </w:t>
      </w:r>
    </w:p>
    <w:p w:rsidR="002A221F" w:rsidRPr="00B4668A" w:rsidRDefault="002A221F" w:rsidP="00B4668A">
      <w:pPr>
        <w:autoSpaceDE w:val="0"/>
        <w:autoSpaceDN w:val="0"/>
        <w:adjustRightInd w:val="0"/>
        <w:spacing w:after="0" w:line="360" w:lineRule="auto"/>
        <w:ind w:left="284"/>
        <w:jc w:val="both"/>
        <w:rPr>
          <w:rFonts w:ascii="Century Gothic" w:hAnsi="Century Gothic" w:cs="GEJIJJ+TimesNewRoman"/>
          <w:color w:val="000000"/>
          <w:sz w:val="24"/>
          <w:szCs w:val="24"/>
        </w:rPr>
      </w:pPr>
    </w:p>
    <w:p w:rsidR="002A221F" w:rsidRPr="00B4668A" w:rsidRDefault="002A221F" w:rsidP="00B4668A">
      <w:pPr>
        <w:pStyle w:val="Paragraphedeliste"/>
        <w:numPr>
          <w:ilvl w:val="0"/>
          <w:numId w:val="2"/>
        </w:numPr>
        <w:autoSpaceDE w:val="0"/>
        <w:autoSpaceDN w:val="0"/>
        <w:adjustRightInd w:val="0"/>
        <w:spacing w:after="0" w:line="360" w:lineRule="auto"/>
        <w:ind w:left="284"/>
        <w:jc w:val="both"/>
        <w:rPr>
          <w:rFonts w:ascii="Century Gothic" w:hAnsi="Century Gothic" w:cs="GEJIJJ+TimesNewRoman"/>
          <w:color w:val="000000"/>
          <w:sz w:val="24"/>
          <w:szCs w:val="24"/>
        </w:rPr>
      </w:pPr>
      <w:r w:rsidRPr="00B4668A">
        <w:rPr>
          <w:rFonts w:ascii="Century Gothic" w:hAnsi="Century Gothic" w:cs="GEJIJJ+TimesNewRoman"/>
          <w:color w:val="000000"/>
          <w:sz w:val="24"/>
          <w:szCs w:val="24"/>
        </w:rPr>
        <w:t xml:space="preserve">Tout acide épuisé qui a servi au procédé de lessivage ou à un autre type de traitement ne peut être déversé dans les eaux naturelles mais doit plutôt être neutralisé ou recyclé. Si celui-ci a été neutralisé, les rejets ne doivent s’effectuer que dans la mesure où les taux de concentration de métaux et autres composés dangereux sont en deçà des limites officiellement autorisées. </w:t>
      </w:r>
    </w:p>
    <w:p w:rsidR="002A221F" w:rsidRPr="00B4668A" w:rsidRDefault="002A221F" w:rsidP="00B4668A">
      <w:pPr>
        <w:autoSpaceDE w:val="0"/>
        <w:autoSpaceDN w:val="0"/>
        <w:adjustRightInd w:val="0"/>
        <w:spacing w:after="0" w:line="360" w:lineRule="auto"/>
        <w:jc w:val="both"/>
        <w:rPr>
          <w:rFonts w:ascii="Century Gothic" w:hAnsi="Century Gothic" w:cs="FGHCHM+TimesNewRoman,Bold"/>
          <w:b/>
          <w:bCs/>
          <w:color w:val="000000"/>
          <w:sz w:val="24"/>
          <w:szCs w:val="24"/>
        </w:rPr>
      </w:pPr>
    </w:p>
    <w:p w:rsidR="002A221F" w:rsidRPr="00B4668A" w:rsidRDefault="002A221F" w:rsidP="00B4668A">
      <w:pPr>
        <w:autoSpaceDE w:val="0"/>
        <w:autoSpaceDN w:val="0"/>
        <w:adjustRightInd w:val="0"/>
        <w:spacing w:after="0" w:line="360" w:lineRule="auto"/>
        <w:jc w:val="both"/>
        <w:rPr>
          <w:rFonts w:ascii="Century Gothic" w:hAnsi="Century Gothic" w:cs="FGHCHM+TimesNewRoman,Bold"/>
          <w:color w:val="000000"/>
          <w:sz w:val="24"/>
          <w:szCs w:val="24"/>
        </w:rPr>
      </w:pPr>
      <w:r w:rsidRPr="00B4668A">
        <w:rPr>
          <w:rFonts w:ascii="Century Gothic" w:hAnsi="Century Gothic" w:cs="FGHCHM+TimesNewRoman,Bold"/>
          <w:b/>
          <w:bCs/>
          <w:color w:val="000000"/>
          <w:sz w:val="24"/>
          <w:szCs w:val="24"/>
        </w:rPr>
        <w:t xml:space="preserve">Déchets solides </w:t>
      </w:r>
    </w:p>
    <w:p w:rsidR="0050652C" w:rsidRPr="00B4668A" w:rsidRDefault="0050652C" w:rsidP="00B4668A">
      <w:pPr>
        <w:autoSpaceDE w:val="0"/>
        <w:autoSpaceDN w:val="0"/>
        <w:adjustRightInd w:val="0"/>
        <w:spacing w:after="0" w:line="360" w:lineRule="auto"/>
        <w:jc w:val="both"/>
        <w:rPr>
          <w:rFonts w:ascii="Century Gothic" w:hAnsi="Century Gothic" w:cs="GEJIJJ+TimesNewRoman"/>
          <w:color w:val="000000"/>
          <w:sz w:val="24"/>
          <w:szCs w:val="24"/>
        </w:rPr>
      </w:pPr>
    </w:p>
    <w:p w:rsidR="0050652C" w:rsidRPr="00B4668A" w:rsidRDefault="002A221F" w:rsidP="00B4668A">
      <w:pPr>
        <w:pStyle w:val="Paragraphedeliste"/>
        <w:numPr>
          <w:ilvl w:val="0"/>
          <w:numId w:val="2"/>
        </w:numPr>
        <w:autoSpaceDE w:val="0"/>
        <w:autoSpaceDN w:val="0"/>
        <w:adjustRightInd w:val="0"/>
        <w:spacing w:after="0" w:line="360" w:lineRule="auto"/>
        <w:ind w:left="284"/>
        <w:jc w:val="both"/>
        <w:rPr>
          <w:rFonts w:ascii="Century Gothic" w:hAnsi="Century Gothic" w:cs="GEJIJJ+TimesNewRoman"/>
          <w:color w:val="000000"/>
          <w:sz w:val="24"/>
          <w:szCs w:val="24"/>
        </w:rPr>
      </w:pPr>
      <w:r w:rsidRPr="00B4668A">
        <w:rPr>
          <w:rFonts w:ascii="Century Gothic" w:hAnsi="Century Gothic" w:cs="GEJIJJ+TimesNewRoman"/>
          <w:color w:val="000000"/>
          <w:sz w:val="24"/>
          <w:szCs w:val="24"/>
        </w:rPr>
        <w:t xml:space="preserve">La production d’aluminium génère d’importantes quantités de boues rouges qu’il faut éliminer. On ne peut déverser ces substances dans les cours d’eau naturels; elles doivent plutôt être entreposées au sol d’une façon telle que les écoulements ou lixiviats ne puissent contaminer les eaux de surface ou en sous-sol. Les projets auxquels la Banque apporte son concours sont des projets qui recommandent et font appel à une méthode de confinement par voie de terre dotée de cuvette de retenue et pour lesquelles on préconise éventuellement des mesures de stabilisation et de restauration du couvert végétal. </w:t>
      </w:r>
    </w:p>
    <w:p w:rsidR="0050652C" w:rsidRPr="00B4668A" w:rsidRDefault="0050652C" w:rsidP="00B4668A">
      <w:pPr>
        <w:autoSpaceDE w:val="0"/>
        <w:autoSpaceDN w:val="0"/>
        <w:adjustRightInd w:val="0"/>
        <w:spacing w:after="0" w:line="360" w:lineRule="auto"/>
        <w:ind w:left="284"/>
        <w:jc w:val="both"/>
        <w:rPr>
          <w:rFonts w:ascii="Century Gothic" w:hAnsi="Century Gothic" w:cs="GEJIJJ+TimesNewRoman"/>
          <w:color w:val="000000"/>
          <w:sz w:val="24"/>
          <w:szCs w:val="24"/>
        </w:rPr>
      </w:pPr>
    </w:p>
    <w:p w:rsidR="0050652C" w:rsidRPr="00B4668A" w:rsidRDefault="002A221F" w:rsidP="00B4668A">
      <w:pPr>
        <w:pStyle w:val="Paragraphedeliste"/>
        <w:numPr>
          <w:ilvl w:val="0"/>
          <w:numId w:val="2"/>
        </w:numPr>
        <w:autoSpaceDE w:val="0"/>
        <w:autoSpaceDN w:val="0"/>
        <w:adjustRightInd w:val="0"/>
        <w:spacing w:after="0" w:line="360" w:lineRule="auto"/>
        <w:ind w:left="284"/>
        <w:jc w:val="both"/>
        <w:rPr>
          <w:rFonts w:ascii="Century Gothic" w:hAnsi="Century Gothic" w:cs="GEJIJJ+TimesNewRoman"/>
          <w:color w:val="000000"/>
          <w:sz w:val="24"/>
          <w:szCs w:val="24"/>
        </w:rPr>
      </w:pPr>
      <w:r w:rsidRPr="00B4668A">
        <w:rPr>
          <w:rFonts w:ascii="Century Gothic" w:hAnsi="Century Gothic" w:cs="GEJIJJ+TimesNewRoman"/>
          <w:color w:val="000000"/>
          <w:sz w:val="24"/>
          <w:szCs w:val="24"/>
        </w:rPr>
        <w:t xml:space="preserve">La production de la plupart des autres métaux non ferreux engendre des déchets solides qui renferment des substances que l’on peut recycler. Il conviendrait néanmoins de considérer le recyclage lors de l’élaboration des mesures d’élimination des déchets. Les boues que l’on ne vend pas à des installations de traitement doivent être stockées selon des conditions contrôlées de manière à ce que les lixiviats ne s’infiltrent pas dans les eaux souterraines ou ne s’écoulent pas dans les eaux de surface. Du reste, les boues produites par les usines de traitement du plomb, qui sont susceptibles de renfermer de fortes concentrations de métaux toxiques, pose un problème particulier. </w:t>
      </w:r>
    </w:p>
    <w:p w:rsidR="0050652C" w:rsidRPr="00B4668A" w:rsidRDefault="0050652C" w:rsidP="00B4668A">
      <w:pPr>
        <w:autoSpaceDE w:val="0"/>
        <w:autoSpaceDN w:val="0"/>
        <w:adjustRightInd w:val="0"/>
        <w:spacing w:after="0" w:line="360" w:lineRule="auto"/>
        <w:jc w:val="both"/>
        <w:rPr>
          <w:rFonts w:ascii="Century Gothic" w:hAnsi="Century Gothic" w:cs="FGHCHM+TimesNewRoman,Bold"/>
          <w:b/>
          <w:bCs/>
          <w:color w:val="000000"/>
          <w:sz w:val="24"/>
          <w:szCs w:val="24"/>
        </w:rPr>
      </w:pPr>
    </w:p>
    <w:p w:rsidR="0050652C" w:rsidRPr="00B4668A" w:rsidRDefault="002A221F" w:rsidP="00FE41A1">
      <w:pPr>
        <w:autoSpaceDE w:val="0"/>
        <w:autoSpaceDN w:val="0"/>
        <w:adjustRightInd w:val="0"/>
        <w:spacing w:after="0" w:line="360" w:lineRule="auto"/>
        <w:ind w:firstLine="284"/>
        <w:jc w:val="both"/>
        <w:rPr>
          <w:rFonts w:ascii="Century Gothic" w:hAnsi="Century Gothic" w:cs="FGHCHM+TimesNewRoman,Bold"/>
          <w:color w:val="000000"/>
          <w:sz w:val="24"/>
          <w:szCs w:val="24"/>
        </w:rPr>
      </w:pPr>
      <w:r w:rsidRPr="00B4668A">
        <w:rPr>
          <w:rFonts w:ascii="Century Gothic" w:hAnsi="Century Gothic" w:cs="FGHCHM+TimesNewRoman,Bold"/>
          <w:b/>
          <w:bCs/>
          <w:color w:val="000000"/>
          <w:sz w:val="24"/>
          <w:szCs w:val="24"/>
        </w:rPr>
        <w:lastRenderedPageBreak/>
        <w:t xml:space="preserve">Réduction des déchets </w:t>
      </w:r>
    </w:p>
    <w:p w:rsidR="0050652C" w:rsidRPr="00B4668A" w:rsidRDefault="002A221F" w:rsidP="00B4668A">
      <w:pPr>
        <w:pStyle w:val="Paragraphedeliste"/>
        <w:numPr>
          <w:ilvl w:val="0"/>
          <w:numId w:val="2"/>
        </w:numPr>
        <w:autoSpaceDE w:val="0"/>
        <w:autoSpaceDN w:val="0"/>
        <w:adjustRightInd w:val="0"/>
        <w:spacing w:after="0" w:line="360" w:lineRule="auto"/>
        <w:ind w:left="284"/>
        <w:jc w:val="both"/>
        <w:rPr>
          <w:rFonts w:ascii="Century Gothic" w:hAnsi="Century Gothic" w:cs="GEJIJJ+TimesNewRoman"/>
          <w:color w:val="000000"/>
          <w:sz w:val="24"/>
          <w:szCs w:val="24"/>
        </w:rPr>
      </w:pPr>
      <w:r w:rsidRPr="00B4668A">
        <w:rPr>
          <w:rFonts w:ascii="Century Gothic" w:hAnsi="Century Gothic" w:cs="GEJIJJ+TimesNewRoman"/>
          <w:color w:val="000000"/>
          <w:sz w:val="24"/>
          <w:szCs w:val="24"/>
        </w:rPr>
        <w:t xml:space="preserve">Les projets financés par la Banque requièrent que les eaux de production soient recyclées dans les opérations de traitement. Il est bien souvent possible de vendre les déchets solides à d’autres installations qui récupéreront les matières utilisables ou, si elles sont inoffensives et manipulées selon des conditions méticuleuses de contrôle, servir à d’autres fins. Si l’on vend ou transfère, par contre, les déchets solides à des entrepreneurs pour qu’ils servent à d’autres types de transformation ou pour être évacués dans une décharge, le projet doit alors prescrire de strictes conditions de contrôle. </w:t>
      </w:r>
    </w:p>
    <w:p w:rsidR="0050652C" w:rsidRPr="00B4668A" w:rsidRDefault="0050652C" w:rsidP="00B4668A">
      <w:pPr>
        <w:autoSpaceDE w:val="0"/>
        <w:autoSpaceDN w:val="0"/>
        <w:adjustRightInd w:val="0"/>
        <w:spacing w:after="0" w:line="360" w:lineRule="auto"/>
        <w:jc w:val="both"/>
        <w:rPr>
          <w:rFonts w:ascii="Century Gothic" w:hAnsi="Century Gothic" w:cs="FGHCHM+TimesNewRoman,Bold"/>
          <w:b/>
          <w:bCs/>
          <w:color w:val="000000"/>
          <w:sz w:val="24"/>
          <w:szCs w:val="24"/>
        </w:rPr>
      </w:pPr>
    </w:p>
    <w:p w:rsidR="0050652C" w:rsidRDefault="002A221F" w:rsidP="007D0AEC">
      <w:pPr>
        <w:autoSpaceDE w:val="0"/>
        <w:autoSpaceDN w:val="0"/>
        <w:adjustRightInd w:val="0"/>
        <w:spacing w:after="0" w:line="360" w:lineRule="auto"/>
        <w:ind w:firstLine="284"/>
        <w:jc w:val="both"/>
        <w:rPr>
          <w:rFonts w:ascii="Century Gothic" w:hAnsi="Century Gothic" w:cs="FGHCHM+TimesNewRoman,Bold"/>
          <w:b/>
          <w:bCs/>
          <w:color w:val="000000"/>
          <w:sz w:val="24"/>
          <w:szCs w:val="24"/>
        </w:rPr>
      </w:pPr>
      <w:r w:rsidRPr="00B4668A">
        <w:rPr>
          <w:rFonts w:ascii="Century Gothic" w:hAnsi="Century Gothic" w:cs="FGHCHM+TimesNewRoman,Bold"/>
          <w:b/>
          <w:bCs/>
          <w:color w:val="000000"/>
          <w:sz w:val="24"/>
          <w:szCs w:val="24"/>
        </w:rPr>
        <w:t xml:space="preserve">Manipulation sans danger des métaux chauffés </w:t>
      </w:r>
    </w:p>
    <w:p w:rsidR="007D0AEC" w:rsidRPr="00B4668A" w:rsidRDefault="007D0AEC" w:rsidP="00B4668A">
      <w:pPr>
        <w:autoSpaceDE w:val="0"/>
        <w:autoSpaceDN w:val="0"/>
        <w:adjustRightInd w:val="0"/>
        <w:spacing w:after="0" w:line="360" w:lineRule="auto"/>
        <w:jc w:val="both"/>
        <w:rPr>
          <w:rFonts w:ascii="Century Gothic" w:hAnsi="Century Gothic" w:cs="FGHCHM+TimesNewRoman,Bold"/>
          <w:color w:val="000000"/>
          <w:sz w:val="24"/>
          <w:szCs w:val="24"/>
        </w:rPr>
      </w:pPr>
    </w:p>
    <w:p w:rsidR="0050652C" w:rsidRPr="00B4668A" w:rsidRDefault="002A221F" w:rsidP="007D0AEC">
      <w:pPr>
        <w:pStyle w:val="Paragraphedeliste"/>
        <w:numPr>
          <w:ilvl w:val="0"/>
          <w:numId w:val="2"/>
        </w:numPr>
        <w:autoSpaceDE w:val="0"/>
        <w:autoSpaceDN w:val="0"/>
        <w:adjustRightInd w:val="0"/>
        <w:spacing w:after="0" w:line="360" w:lineRule="auto"/>
        <w:ind w:left="284"/>
        <w:jc w:val="both"/>
        <w:rPr>
          <w:rFonts w:ascii="Century Gothic" w:hAnsi="Century Gothic" w:cs="GEJIJJ+TimesNewRoman"/>
          <w:color w:val="000000"/>
          <w:sz w:val="24"/>
          <w:szCs w:val="24"/>
        </w:rPr>
      </w:pPr>
      <w:r w:rsidRPr="00B4668A">
        <w:rPr>
          <w:rFonts w:ascii="Century Gothic" w:hAnsi="Century Gothic" w:cs="GEJIJJ+TimesNewRoman"/>
          <w:color w:val="000000"/>
          <w:sz w:val="24"/>
          <w:szCs w:val="24"/>
        </w:rPr>
        <w:t xml:space="preserve">Il existe, dans toutes les opérations où la fusion de métaux intervient, un risque d’explosion causé par son contact avec l’eau. Les raisons qui provoquent cette conflagration ne sont pas bien comprises. Alors que le procédé qui consiste à immerger le métal ou à réduire la matte en boulettes ne présente pas de danger, le versement de petites quantités d’eau sur un métal en fusion peut être fatal. </w:t>
      </w:r>
    </w:p>
    <w:p w:rsidR="0050652C" w:rsidRPr="00B4668A" w:rsidRDefault="0050652C" w:rsidP="00B4668A">
      <w:pPr>
        <w:pStyle w:val="Paragraphedeliste"/>
        <w:spacing w:line="360" w:lineRule="auto"/>
        <w:rPr>
          <w:rFonts w:ascii="Century Gothic" w:hAnsi="Century Gothic" w:cs="GEJIJJ+TimesNewRoman"/>
          <w:color w:val="000000"/>
          <w:sz w:val="24"/>
          <w:szCs w:val="24"/>
        </w:rPr>
      </w:pPr>
    </w:p>
    <w:p w:rsidR="0050652C" w:rsidRPr="00B4668A" w:rsidRDefault="002A221F" w:rsidP="00B4668A">
      <w:pPr>
        <w:pStyle w:val="Paragraphedeliste"/>
        <w:spacing w:line="360" w:lineRule="auto"/>
        <w:rPr>
          <w:rFonts w:ascii="Century Gothic" w:hAnsi="Century Gothic" w:cs="FGHCHM+TimesNewRoman,Bold"/>
          <w:sz w:val="24"/>
          <w:szCs w:val="24"/>
        </w:rPr>
      </w:pPr>
      <w:r w:rsidRPr="00B4668A">
        <w:rPr>
          <w:rFonts w:ascii="Century Gothic" w:hAnsi="Century Gothic" w:cs="FGHCHM+TimesNewRoman,Bold"/>
          <w:b/>
          <w:bCs/>
          <w:sz w:val="24"/>
          <w:szCs w:val="24"/>
        </w:rPr>
        <w:t xml:space="preserve">Solutions de remplacement aux projets </w:t>
      </w:r>
    </w:p>
    <w:p w:rsidR="002A221F" w:rsidRPr="00B4668A" w:rsidRDefault="002A221F" w:rsidP="00B4668A">
      <w:pPr>
        <w:autoSpaceDE w:val="0"/>
        <w:autoSpaceDN w:val="0"/>
        <w:adjustRightInd w:val="0"/>
        <w:spacing w:after="0" w:line="360" w:lineRule="auto"/>
        <w:jc w:val="both"/>
        <w:rPr>
          <w:rFonts w:ascii="Century Gothic" w:hAnsi="Century Gothic" w:cs="GEJIJJ+TimesNewRoman"/>
          <w:color w:val="000000"/>
          <w:sz w:val="24"/>
          <w:szCs w:val="24"/>
        </w:rPr>
      </w:pPr>
    </w:p>
    <w:p w:rsidR="002A221F" w:rsidRPr="00B4668A" w:rsidRDefault="002A221F" w:rsidP="00B4668A">
      <w:pPr>
        <w:pStyle w:val="Paragraphedeliste"/>
        <w:numPr>
          <w:ilvl w:val="0"/>
          <w:numId w:val="2"/>
        </w:numPr>
        <w:autoSpaceDE w:val="0"/>
        <w:autoSpaceDN w:val="0"/>
        <w:adjustRightInd w:val="0"/>
        <w:spacing w:after="0" w:line="360" w:lineRule="auto"/>
        <w:ind w:left="284"/>
        <w:jc w:val="both"/>
        <w:rPr>
          <w:rFonts w:ascii="Century Gothic" w:hAnsi="Century Gothic" w:cs="GEJIJJ+TimesNewRoman"/>
          <w:color w:val="000000"/>
          <w:sz w:val="24"/>
          <w:szCs w:val="24"/>
        </w:rPr>
      </w:pPr>
      <w:r w:rsidRPr="00B4668A">
        <w:rPr>
          <w:rFonts w:ascii="Century Gothic" w:hAnsi="Century Gothic" w:cs="GEJIJJ+TimesNewRoman"/>
          <w:color w:val="000000"/>
          <w:sz w:val="24"/>
          <w:szCs w:val="24"/>
        </w:rPr>
        <w:t xml:space="preserve">Même s’il existe diverses façons de concevoir et d’exécuter un projet, les technologies et les matières premières disponibles restreignent le type d’installations de traitement des métaux non ferreux. </w:t>
      </w:r>
    </w:p>
    <w:p w:rsidR="002A221F" w:rsidRPr="00B4668A" w:rsidRDefault="002A221F" w:rsidP="00B4668A">
      <w:pPr>
        <w:autoSpaceDE w:val="0"/>
        <w:autoSpaceDN w:val="0"/>
        <w:adjustRightInd w:val="0"/>
        <w:spacing w:after="0" w:line="360" w:lineRule="auto"/>
        <w:jc w:val="both"/>
        <w:rPr>
          <w:rFonts w:ascii="Century Gothic" w:hAnsi="Century Gothic" w:cs="FGHCHM+TimesNewRoman,Bold"/>
          <w:b/>
          <w:bCs/>
          <w:color w:val="000000"/>
          <w:sz w:val="24"/>
          <w:szCs w:val="24"/>
        </w:rPr>
      </w:pPr>
    </w:p>
    <w:p w:rsidR="002A221F" w:rsidRPr="00B4668A" w:rsidRDefault="002A221F" w:rsidP="00B4668A">
      <w:pPr>
        <w:autoSpaceDE w:val="0"/>
        <w:autoSpaceDN w:val="0"/>
        <w:adjustRightInd w:val="0"/>
        <w:spacing w:after="0" w:line="360" w:lineRule="auto"/>
        <w:jc w:val="both"/>
        <w:rPr>
          <w:rFonts w:ascii="Century Gothic" w:hAnsi="Century Gothic" w:cs="FGHCHM+TimesNewRoman,Bold"/>
          <w:color w:val="000000"/>
          <w:sz w:val="24"/>
          <w:szCs w:val="24"/>
        </w:rPr>
      </w:pPr>
      <w:r w:rsidRPr="00B4668A">
        <w:rPr>
          <w:rFonts w:ascii="Century Gothic" w:hAnsi="Century Gothic" w:cs="FGHCHM+TimesNewRoman,Bold"/>
          <w:b/>
          <w:bCs/>
          <w:color w:val="000000"/>
          <w:sz w:val="24"/>
          <w:szCs w:val="24"/>
        </w:rPr>
        <w:t xml:space="preserve">Choix de l’emplacement </w:t>
      </w:r>
    </w:p>
    <w:p w:rsidR="0050652C" w:rsidRPr="00B4668A" w:rsidRDefault="0050652C" w:rsidP="00B4668A">
      <w:pPr>
        <w:autoSpaceDE w:val="0"/>
        <w:autoSpaceDN w:val="0"/>
        <w:adjustRightInd w:val="0"/>
        <w:spacing w:after="0" w:line="360" w:lineRule="auto"/>
        <w:jc w:val="both"/>
        <w:rPr>
          <w:rFonts w:ascii="Century Gothic" w:hAnsi="Century Gothic" w:cs="GEJIJJ+TimesNewRoman"/>
          <w:color w:val="000000"/>
          <w:sz w:val="24"/>
          <w:szCs w:val="24"/>
        </w:rPr>
      </w:pPr>
    </w:p>
    <w:p w:rsidR="0050652C" w:rsidRPr="00B4668A" w:rsidRDefault="002A221F" w:rsidP="00B4668A">
      <w:pPr>
        <w:pStyle w:val="Paragraphedeliste"/>
        <w:numPr>
          <w:ilvl w:val="0"/>
          <w:numId w:val="2"/>
        </w:numPr>
        <w:autoSpaceDE w:val="0"/>
        <w:autoSpaceDN w:val="0"/>
        <w:adjustRightInd w:val="0"/>
        <w:spacing w:after="0" w:line="360" w:lineRule="auto"/>
        <w:ind w:left="284"/>
        <w:jc w:val="both"/>
        <w:rPr>
          <w:rFonts w:ascii="Century Gothic" w:hAnsi="Century Gothic" w:cs="GEJIJJ+TimesNewRoman"/>
          <w:color w:val="000000"/>
          <w:sz w:val="24"/>
          <w:szCs w:val="24"/>
        </w:rPr>
      </w:pPr>
      <w:r w:rsidRPr="00B4668A">
        <w:rPr>
          <w:rFonts w:ascii="Century Gothic" w:hAnsi="Century Gothic" w:cs="GEJIJJ+TimesNewRoman"/>
          <w:color w:val="000000"/>
          <w:sz w:val="24"/>
          <w:szCs w:val="24"/>
        </w:rPr>
        <w:t xml:space="preserve">La nature d’une usine de production de métaux non ferreux, qui procède à l’évacuation des déchets solides générés par les opérations de production, est telle que les effets sur la qualité de l’eau et des sols exigent que l’on prête une attention toute particulière à l’évaluation des emplacements possibles. Des exutoires dont la </w:t>
      </w:r>
      <w:r w:rsidRPr="00B4668A">
        <w:rPr>
          <w:rFonts w:ascii="Century Gothic" w:hAnsi="Century Gothic" w:cs="GEJIJJ+TimesNewRoman"/>
          <w:color w:val="000000"/>
          <w:sz w:val="24"/>
          <w:szCs w:val="24"/>
        </w:rPr>
        <w:lastRenderedPageBreak/>
        <w:t xml:space="preserve">qualité des eaux est insatisfaisante ou dont le débit ne permet pas de recevoir des effluents bien traités ne sont pas indiqués. </w:t>
      </w:r>
    </w:p>
    <w:p w:rsidR="0050652C" w:rsidRPr="00B4668A" w:rsidRDefault="0050652C" w:rsidP="00B4668A">
      <w:pPr>
        <w:autoSpaceDE w:val="0"/>
        <w:autoSpaceDN w:val="0"/>
        <w:adjustRightInd w:val="0"/>
        <w:spacing w:after="0" w:line="360" w:lineRule="auto"/>
        <w:ind w:left="284"/>
        <w:jc w:val="both"/>
        <w:rPr>
          <w:rFonts w:ascii="Century Gothic" w:hAnsi="Century Gothic" w:cs="GEJIJJ+TimesNewRoman"/>
          <w:color w:val="000000"/>
          <w:sz w:val="24"/>
          <w:szCs w:val="24"/>
        </w:rPr>
      </w:pPr>
    </w:p>
    <w:p w:rsidR="0050652C" w:rsidRPr="00B4668A" w:rsidRDefault="002A221F" w:rsidP="00B4668A">
      <w:pPr>
        <w:pStyle w:val="Paragraphedeliste"/>
        <w:numPr>
          <w:ilvl w:val="0"/>
          <w:numId w:val="2"/>
        </w:numPr>
        <w:autoSpaceDE w:val="0"/>
        <w:autoSpaceDN w:val="0"/>
        <w:adjustRightInd w:val="0"/>
        <w:spacing w:after="0" w:line="360" w:lineRule="auto"/>
        <w:ind w:left="284"/>
        <w:jc w:val="both"/>
        <w:rPr>
          <w:rFonts w:ascii="Century Gothic" w:hAnsi="Century Gothic" w:cs="GEJIJJ+TimesNewRoman"/>
          <w:color w:val="000000"/>
          <w:sz w:val="24"/>
          <w:szCs w:val="24"/>
        </w:rPr>
      </w:pPr>
      <w:r w:rsidRPr="00B4668A">
        <w:rPr>
          <w:rFonts w:ascii="Century Gothic" w:hAnsi="Century Gothic" w:cs="GEJIJJ+TimesNewRoman"/>
          <w:color w:val="000000"/>
          <w:sz w:val="24"/>
          <w:szCs w:val="24"/>
        </w:rPr>
        <w:t xml:space="preserve">Si les activités d’exploitation du minerai et de production ont lieu sur le même emplacement ou à proximité l’une de l’autre, il convient, alors, d’évaluer l’ensemble des impacts que ces deux opérations ont sur l’environnement. Il se peut que l’on aboutisse à une conclusion positive où les anciennes mines pourraient servir à y déposer les déchets solides selon des conditions de contrôle strictes. </w:t>
      </w:r>
    </w:p>
    <w:p w:rsidR="0050652C" w:rsidRPr="00B4668A" w:rsidRDefault="0050652C" w:rsidP="00B4668A">
      <w:pPr>
        <w:autoSpaceDE w:val="0"/>
        <w:autoSpaceDN w:val="0"/>
        <w:adjustRightInd w:val="0"/>
        <w:spacing w:after="0" w:line="360" w:lineRule="auto"/>
        <w:jc w:val="both"/>
        <w:rPr>
          <w:rFonts w:ascii="Century Gothic" w:hAnsi="Century Gothic" w:cs="FGHCHM+TimesNewRoman,Bold"/>
          <w:b/>
          <w:bCs/>
          <w:color w:val="000000"/>
          <w:sz w:val="24"/>
          <w:szCs w:val="24"/>
        </w:rPr>
      </w:pPr>
    </w:p>
    <w:p w:rsidR="0050652C" w:rsidRPr="00B4668A" w:rsidRDefault="002A221F" w:rsidP="00B4668A">
      <w:pPr>
        <w:autoSpaceDE w:val="0"/>
        <w:autoSpaceDN w:val="0"/>
        <w:adjustRightInd w:val="0"/>
        <w:spacing w:after="0" w:line="360" w:lineRule="auto"/>
        <w:jc w:val="both"/>
        <w:rPr>
          <w:rFonts w:ascii="Century Gothic" w:hAnsi="Century Gothic" w:cs="FGHCHM+TimesNewRoman,Bold"/>
          <w:color w:val="000000"/>
          <w:sz w:val="24"/>
          <w:szCs w:val="24"/>
        </w:rPr>
      </w:pPr>
      <w:r w:rsidRPr="00B4668A">
        <w:rPr>
          <w:rFonts w:ascii="Century Gothic" w:hAnsi="Century Gothic" w:cs="FGHCHM+TimesNewRoman,Bold"/>
          <w:b/>
          <w:bCs/>
          <w:color w:val="000000"/>
          <w:sz w:val="24"/>
          <w:szCs w:val="24"/>
        </w:rPr>
        <w:t xml:space="preserve">Méthodes de traitement </w:t>
      </w:r>
    </w:p>
    <w:p w:rsidR="0050652C" w:rsidRPr="00B4668A" w:rsidRDefault="0050652C" w:rsidP="00B4668A">
      <w:pPr>
        <w:autoSpaceDE w:val="0"/>
        <w:autoSpaceDN w:val="0"/>
        <w:adjustRightInd w:val="0"/>
        <w:spacing w:after="0" w:line="360" w:lineRule="auto"/>
        <w:jc w:val="both"/>
        <w:rPr>
          <w:rFonts w:ascii="Century Gothic" w:hAnsi="Century Gothic" w:cs="GEJIJJ+TimesNewRoman"/>
          <w:color w:val="000000"/>
          <w:sz w:val="24"/>
          <w:szCs w:val="24"/>
        </w:rPr>
      </w:pPr>
    </w:p>
    <w:p w:rsidR="0050652C" w:rsidRPr="00B4668A" w:rsidRDefault="002A221F" w:rsidP="00B4668A">
      <w:pPr>
        <w:pStyle w:val="Paragraphedeliste"/>
        <w:numPr>
          <w:ilvl w:val="0"/>
          <w:numId w:val="2"/>
        </w:numPr>
        <w:autoSpaceDE w:val="0"/>
        <w:autoSpaceDN w:val="0"/>
        <w:adjustRightInd w:val="0"/>
        <w:spacing w:after="0" w:line="360" w:lineRule="auto"/>
        <w:ind w:left="284"/>
        <w:jc w:val="both"/>
        <w:rPr>
          <w:rFonts w:ascii="Century Gothic" w:hAnsi="Century Gothic" w:cs="GEJIJJ+TimesNewRoman"/>
          <w:color w:val="000000"/>
          <w:sz w:val="24"/>
          <w:szCs w:val="24"/>
        </w:rPr>
      </w:pPr>
      <w:r w:rsidRPr="00B4668A">
        <w:rPr>
          <w:rFonts w:ascii="Century Gothic" w:hAnsi="Century Gothic" w:cs="GEJIJJ+TimesNewRoman"/>
          <w:color w:val="000000"/>
          <w:sz w:val="24"/>
          <w:szCs w:val="24"/>
        </w:rPr>
        <w:t xml:space="preserve">Les méthodes de fabrication des métaux non ferreux varient selon les métaux produits et les matières premières employées. Quand bien même la question des possibilités de recyclage possibles dans un pays quelconque n’est pas un élément sur lequel l’on se penche quand il s’agit d’analyser un projet en particulier, il importerait pourtant de les examiner à fond avant de développer de nouvelles installations. Cette approche est non seulement bénéfique pour l’environnement mais aussi pour l’économie nationale qui, de cette façon, pourrait épargner ses coûts énergétiques que représentent aussi bien la production que l’exploitation minières. </w:t>
      </w:r>
    </w:p>
    <w:p w:rsidR="0050652C" w:rsidRPr="00B4668A" w:rsidRDefault="0050652C" w:rsidP="00B4668A">
      <w:pPr>
        <w:autoSpaceDE w:val="0"/>
        <w:autoSpaceDN w:val="0"/>
        <w:adjustRightInd w:val="0"/>
        <w:spacing w:after="0" w:line="360" w:lineRule="auto"/>
        <w:ind w:left="284"/>
        <w:jc w:val="both"/>
        <w:rPr>
          <w:rFonts w:ascii="Century Gothic" w:hAnsi="Century Gothic" w:cs="GEJIJJ+TimesNewRoman"/>
          <w:color w:val="000000"/>
          <w:sz w:val="24"/>
          <w:szCs w:val="24"/>
        </w:rPr>
      </w:pPr>
    </w:p>
    <w:p w:rsidR="0050652C" w:rsidRPr="00B4668A" w:rsidRDefault="002A221F" w:rsidP="00B4668A">
      <w:pPr>
        <w:pStyle w:val="Paragraphedeliste"/>
        <w:numPr>
          <w:ilvl w:val="0"/>
          <w:numId w:val="2"/>
        </w:numPr>
        <w:autoSpaceDE w:val="0"/>
        <w:autoSpaceDN w:val="0"/>
        <w:adjustRightInd w:val="0"/>
        <w:spacing w:after="0" w:line="360" w:lineRule="auto"/>
        <w:ind w:left="284"/>
        <w:jc w:val="both"/>
        <w:rPr>
          <w:rFonts w:ascii="Century Gothic" w:hAnsi="Century Gothic" w:cs="GEJIJJ+TimesNewRoman"/>
          <w:color w:val="000000"/>
          <w:sz w:val="24"/>
          <w:szCs w:val="24"/>
        </w:rPr>
      </w:pPr>
      <w:r w:rsidRPr="00B4668A">
        <w:rPr>
          <w:rFonts w:ascii="Century Gothic" w:hAnsi="Century Gothic" w:cs="GEJIJJ+TimesNewRoman"/>
          <w:color w:val="000000"/>
          <w:sz w:val="24"/>
          <w:szCs w:val="24"/>
        </w:rPr>
        <w:t xml:space="preserve">Il est important, en matière de production d’aluminium, de vérifier que les technologies de pointe aient été intégrées dans le projet et peuvent avoir un effet bénéfique sur la gestion des déchets, tels les procédés à lit fluidisé pour la récupération de la chaleur résiduelle émise par les fours à fusion de l’aluminium. </w:t>
      </w:r>
    </w:p>
    <w:p w:rsidR="0050652C" w:rsidRPr="00B4668A" w:rsidRDefault="0050652C" w:rsidP="00B4668A">
      <w:pPr>
        <w:autoSpaceDE w:val="0"/>
        <w:autoSpaceDN w:val="0"/>
        <w:adjustRightInd w:val="0"/>
        <w:spacing w:after="0" w:line="360" w:lineRule="auto"/>
        <w:ind w:left="284"/>
        <w:jc w:val="both"/>
        <w:rPr>
          <w:rFonts w:ascii="Century Gothic" w:hAnsi="Century Gothic" w:cs="GEJIJJ+TimesNewRoman"/>
          <w:color w:val="000000"/>
          <w:sz w:val="24"/>
          <w:szCs w:val="24"/>
        </w:rPr>
      </w:pPr>
    </w:p>
    <w:p w:rsidR="0050652C" w:rsidRPr="00B4668A" w:rsidRDefault="002A221F" w:rsidP="00B4668A">
      <w:pPr>
        <w:pStyle w:val="Paragraphedeliste"/>
        <w:numPr>
          <w:ilvl w:val="0"/>
          <w:numId w:val="2"/>
        </w:numPr>
        <w:autoSpaceDE w:val="0"/>
        <w:autoSpaceDN w:val="0"/>
        <w:adjustRightInd w:val="0"/>
        <w:spacing w:after="0" w:line="360" w:lineRule="auto"/>
        <w:ind w:left="284"/>
        <w:jc w:val="both"/>
        <w:rPr>
          <w:rFonts w:ascii="Century Gothic" w:hAnsi="Century Gothic" w:cs="GEJIJJ+TimesNewRoman"/>
          <w:color w:val="000000"/>
          <w:sz w:val="24"/>
          <w:szCs w:val="24"/>
        </w:rPr>
      </w:pPr>
      <w:r w:rsidRPr="00B4668A">
        <w:rPr>
          <w:rFonts w:ascii="Century Gothic" w:hAnsi="Century Gothic" w:cs="GEJIJJ+TimesNewRoman"/>
          <w:color w:val="000000"/>
          <w:sz w:val="24"/>
          <w:szCs w:val="24"/>
        </w:rPr>
        <w:t xml:space="preserve">En ce qui concerne la fabrication de nickel, de cuivre et de zinc produite à partir de minerais de soufre, il existe souvent deux voies disponibles de traitement : par pyrométallurgie ou hydrométallurgie. Le choix se fonde sur de nombreux éléments distincts qui vont des propriétés inhérentes des minerais à des critères qui se rapportent au lieu géographique, à la disponibilité de l’eau et de l’énergie et à des conditions de marché. L’avantage du procédé hydrométallurgique tient à ce qu’il </w:t>
      </w:r>
      <w:r w:rsidRPr="00B4668A">
        <w:rPr>
          <w:rFonts w:ascii="Century Gothic" w:hAnsi="Century Gothic" w:cs="GEJIJJ+TimesNewRoman"/>
          <w:color w:val="000000"/>
          <w:sz w:val="24"/>
          <w:szCs w:val="24"/>
        </w:rPr>
        <w:lastRenderedPageBreak/>
        <w:t xml:space="preserve">est bien adapté à des minerais de moindre qualité et plus complexes. Cet aspect est d’autant plus important que les ressources mondiales en minerais de haute qualité s’épuisent. Ce procédé peut également convenir à de petits gisements faisant appel à des installations relativement modestes. Il reste que l’affirmation selon laquelle le procédé hydrométallurgique soit préférable à la méthode pyrométallurgique n’est pas nécessairement défendable du point de vue de l’environnement; la question n’est pas aussi tranchée et doit être estimée pour chaque projet. </w:t>
      </w:r>
    </w:p>
    <w:p w:rsidR="0050652C" w:rsidRPr="00B4668A" w:rsidRDefault="0050652C" w:rsidP="00B4668A">
      <w:pPr>
        <w:autoSpaceDE w:val="0"/>
        <w:autoSpaceDN w:val="0"/>
        <w:adjustRightInd w:val="0"/>
        <w:spacing w:after="0" w:line="360" w:lineRule="auto"/>
        <w:jc w:val="both"/>
        <w:rPr>
          <w:rFonts w:ascii="Century Gothic" w:hAnsi="Century Gothic" w:cs="FGHCHM+TimesNewRoman,Bold"/>
          <w:b/>
          <w:bCs/>
          <w:color w:val="000000"/>
          <w:sz w:val="24"/>
          <w:szCs w:val="24"/>
        </w:rPr>
      </w:pPr>
    </w:p>
    <w:p w:rsidR="0050652C" w:rsidRPr="00B4668A" w:rsidRDefault="002A221F" w:rsidP="00B4668A">
      <w:pPr>
        <w:autoSpaceDE w:val="0"/>
        <w:autoSpaceDN w:val="0"/>
        <w:adjustRightInd w:val="0"/>
        <w:spacing w:after="0" w:line="360" w:lineRule="auto"/>
        <w:jc w:val="both"/>
        <w:rPr>
          <w:rFonts w:ascii="Century Gothic" w:hAnsi="Century Gothic" w:cs="FGHCHM+TimesNewRoman,Bold"/>
          <w:color w:val="000000"/>
          <w:sz w:val="24"/>
          <w:szCs w:val="24"/>
        </w:rPr>
      </w:pPr>
      <w:r w:rsidRPr="00B4668A">
        <w:rPr>
          <w:rFonts w:ascii="Century Gothic" w:hAnsi="Century Gothic" w:cs="FGHCHM+TimesNewRoman,Bold"/>
          <w:b/>
          <w:bCs/>
          <w:color w:val="000000"/>
          <w:sz w:val="24"/>
          <w:szCs w:val="24"/>
        </w:rPr>
        <w:t xml:space="preserve">Moyens de lutte contre la pollution atmosphérique </w:t>
      </w:r>
    </w:p>
    <w:p w:rsidR="0050652C" w:rsidRPr="00B4668A" w:rsidRDefault="0050652C" w:rsidP="00B4668A">
      <w:pPr>
        <w:autoSpaceDE w:val="0"/>
        <w:autoSpaceDN w:val="0"/>
        <w:adjustRightInd w:val="0"/>
        <w:spacing w:after="0" w:line="360" w:lineRule="auto"/>
        <w:jc w:val="both"/>
        <w:rPr>
          <w:rFonts w:ascii="Century Gothic" w:hAnsi="Century Gothic" w:cs="GEJIJJ+TimesNewRoman"/>
          <w:color w:val="000000"/>
          <w:sz w:val="24"/>
          <w:szCs w:val="24"/>
        </w:rPr>
      </w:pPr>
    </w:p>
    <w:p w:rsidR="0050652C" w:rsidRPr="00B4668A" w:rsidRDefault="002A221F" w:rsidP="00FE41A1">
      <w:pPr>
        <w:pStyle w:val="Paragraphedeliste"/>
        <w:widowControl w:val="0"/>
        <w:numPr>
          <w:ilvl w:val="0"/>
          <w:numId w:val="2"/>
        </w:numPr>
        <w:autoSpaceDE w:val="0"/>
        <w:autoSpaceDN w:val="0"/>
        <w:adjustRightInd w:val="0"/>
        <w:spacing w:after="0" w:line="360" w:lineRule="auto"/>
        <w:ind w:left="284"/>
        <w:jc w:val="both"/>
        <w:rPr>
          <w:rFonts w:ascii="Century Gothic" w:hAnsi="Century Gothic" w:cs="GEJIJJ+TimesNewRoman"/>
          <w:color w:val="000000"/>
          <w:sz w:val="24"/>
          <w:szCs w:val="24"/>
        </w:rPr>
      </w:pPr>
      <w:r w:rsidRPr="00B4668A">
        <w:rPr>
          <w:rFonts w:ascii="Century Gothic" w:hAnsi="Century Gothic" w:cs="GEJIJJ+TimesNewRoman"/>
          <w:color w:val="000000"/>
          <w:sz w:val="24"/>
          <w:szCs w:val="24"/>
        </w:rPr>
        <w:t xml:space="preserve">Les projets financés par la Banque requièrent des mesures de lutte contre la pollution atmosphérique. Les solutions possibles qu’il convient de considérer comprennent : </w:t>
      </w:r>
    </w:p>
    <w:p w:rsidR="002A221F" w:rsidRPr="00B4668A" w:rsidRDefault="002A221F" w:rsidP="00FE41A1">
      <w:pPr>
        <w:pStyle w:val="Paragraphedeliste"/>
        <w:widowControl w:val="0"/>
        <w:numPr>
          <w:ilvl w:val="1"/>
          <w:numId w:val="2"/>
        </w:numPr>
        <w:autoSpaceDE w:val="0"/>
        <w:autoSpaceDN w:val="0"/>
        <w:adjustRightInd w:val="0"/>
        <w:spacing w:after="0" w:line="360" w:lineRule="auto"/>
        <w:ind w:left="993"/>
        <w:jc w:val="both"/>
        <w:rPr>
          <w:rFonts w:ascii="Century Gothic" w:hAnsi="Century Gothic" w:cs="GEJIJJ+TimesNewRoman"/>
          <w:color w:val="000000"/>
          <w:sz w:val="24"/>
          <w:szCs w:val="24"/>
        </w:rPr>
      </w:pPr>
      <w:r w:rsidRPr="00B4668A">
        <w:rPr>
          <w:rFonts w:ascii="Century Gothic" w:hAnsi="Century Gothic" w:cs="GEJIJJ+TimesNewRoman"/>
          <w:color w:val="000000"/>
          <w:sz w:val="24"/>
          <w:szCs w:val="24"/>
        </w:rPr>
        <w:t xml:space="preserve">conception du procédé et choix du matériel, dépoussiéreurs électrostatiques, épuration des gaz de cheminée (par voie sèche ou humide); </w:t>
      </w:r>
    </w:p>
    <w:p w:rsidR="0050652C" w:rsidRPr="00B4668A" w:rsidRDefault="002A221F" w:rsidP="00FE41A1">
      <w:pPr>
        <w:pStyle w:val="Paragraphedeliste"/>
        <w:widowControl w:val="0"/>
        <w:numPr>
          <w:ilvl w:val="1"/>
          <w:numId w:val="2"/>
        </w:numPr>
        <w:autoSpaceDE w:val="0"/>
        <w:autoSpaceDN w:val="0"/>
        <w:adjustRightInd w:val="0"/>
        <w:spacing w:after="0" w:line="360" w:lineRule="auto"/>
        <w:ind w:left="993"/>
        <w:jc w:val="both"/>
        <w:rPr>
          <w:rFonts w:ascii="Century Gothic" w:hAnsi="Century Gothic" w:cs="GEJIJJ+TimesNewRoman"/>
          <w:color w:val="000000"/>
          <w:sz w:val="24"/>
          <w:szCs w:val="24"/>
        </w:rPr>
      </w:pPr>
      <w:r w:rsidRPr="00B4668A">
        <w:rPr>
          <w:rFonts w:ascii="Century Gothic" w:hAnsi="Century Gothic" w:cs="GEJIJJ+TimesNewRoman"/>
          <w:color w:val="000000"/>
          <w:sz w:val="24"/>
          <w:szCs w:val="24"/>
        </w:rPr>
        <w:t xml:space="preserve">dépoussiéreurs électrostatiques; </w:t>
      </w:r>
    </w:p>
    <w:p w:rsidR="0050652C" w:rsidRPr="00B4668A" w:rsidRDefault="002A221F" w:rsidP="00B4668A">
      <w:pPr>
        <w:pStyle w:val="Paragraphedeliste"/>
        <w:numPr>
          <w:ilvl w:val="1"/>
          <w:numId w:val="2"/>
        </w:numPr>
        <w:autoSpaceDE w:val="0"/>
        <w:autoSpaceDN w:val="0"/>
        <w:adjustRightInd w:val="0"/>
        <w:spacing w:after="0" w:line="360" w:lineRule="auto"/>
        <w:ind w:left="993"/>
        <w:jc w:val="both"/>
        <w:rPr>
          <w:rFonts w:ascii="Century Gothic" w:hAnsi="Century Gothic" w:cs="GEJIJJ+TimesNewRoman"/>
          <w:color w:val="000000"/>
          <w:sz w:val="24"/>
          <w:szCs w:val="24"/>
        </w:rPr>
      </w:pPr>
      <w:r w:rsidRPr="00B4668A">
        <w:rPr>
          <w:rFonts w:ascii="Century Gothic" w:hAnsi="Century Gothic" w:cs="GEJIJJ+TimesNewRoman"/>
          <w:color w:val="000000"/>
          <w:sz w:val="24"/>
          <w:szCs w:val="24"/>
        </w:rPr>
        <w:t xml:space="preserve">épurateurs des gaz de cheminée (par voie sèche ou humide) </w:t>
      </w:r>
    </w:p>
    <w:p w:rsidR="0050652C" w:rsidRPr="00B4668A" w:rsidRDefault="002A221F" w:rsidP="00B4668A">
      <w:pPr>
        <w:pStyle w:val="Paragraphedeliste"/>
        <w:numPr>
          <w:ilvl w:val="1"/>
          <w:numId w:val="2"/>
        </w:numPr>
        <w:autoSpaceDE w:val="0"/>
        <w:autoSpaceDN w:val="0"/>
        <w:adjustRightInd w:val="0"/>
        <w:spacing w:after="0" w:line="360" w:lineRule="auto"/>
        <w:ind w:left="993"/>
        <w:jc w:val="both"/>
        <w:rPr>
          <w:rFonts w:ascii="Century Gothic" w:hAnsi="Century Gothic" w:cs="GEJIJJ+TimesNewRoman"/>
          <w:color w:val="000000"/>
          <w:sz w:val="24"/>
          <w:szCs w:val="24"/>
        </w:rPr>
      </w:pPr>
      <w:r w:rsidRPr="00B4668A">
        <w:rPr>
          <w:rFonts w:ascii="Century Gothic" w:hAnsi="Century Gothic" w:cs="GEJIJJ+TimesNewRoman"/>
          <w:color w:val="000000"/>
          <w:sz w:val="24"/>
          <w:szCs w:val="24"/>
        </w:rPr>
        <w:t xml:space="preserve">cyclones à forte intensité; </w:t>
      </w:r>
    </w:p>
    <w:p w:rsidR="0050652C" w:rsidRPr="00B4668A" w:rsidRDefault="002A221F" w:rsidP="00B4668A">
      <w:pPr>
        <w:pStyle w:val="Paragraphedeliste"/>
        <w:numPr>
          <w:ilvl w:val="1"/>
          <w:numId w:val="2"/>
        </w:numPr>
        <w:autoSpaceDE w:val="0"/>
        <w:autoSpaceDN w:val="0"/>
        <w:adjustRightInd w:val="0"/>
        <w:spacing w:after="0" w:line="360" w:lineRule="auto"/>
        <w:ind w:left="993"/>
        <w:jc w:val="both"/>
        <w:rPr>
          <w:rFonts w:ascii="Century Gothic" w:hAnsi="Century Gothic" w:cs="GEJIJJ+TimesNewRoman"/>
          <w:color w:val="000000"/>
          <w:sz w:val="24"/>
          <w:szCs w:val="24"/>
        </w:rPr>
      </w:pPr>
      <w:r w:rsidRPr="00B4668A">
        <w:rPr>
          <w:rFonts w:ascii="Century Gothic" w:hAnsi="Century Gothic" w:cs="GEJIJJ+TimesNewRoman"/>
          <w:color w:val="000000"/>
          <w:sz w:val="24"/>
          <w:szCs w:val="24"/>
        </w:rPr>
        <w:t xml:space="preserve">filtres à manche; </w:t>
      </w:r>
    </w:p>
    <w:p w:rsidR="0050652C" w:rsidRPr="00B4668A" w:rsidRDefault="002A221F" w:rsidP="00B4668A">
      <w:pPr>
        <w:pStyle w:val="Paragraphedeliste"/>
        <w:numPr>
          <w:ilvl w:val="1"/>
          <w:numId w:val="2"/>
        </w:numPr>
        <w:autoSpaceDE w:val="0"/>
        <w:autoSpaceDN w:val="0"/>
        <w:adjustRightInd w:val="0"/>
        <w:spacing w:after="0" w:line="360" w:lineRule="auto"/>
        <w:ind w:left="993"/>
        <w:jc w:val="both"/>
        <w:rPr>
          <w:rFonts w:ascii="Century Gothic" w:hAnsi="Century Gothic" w:cs="GEJIJJ+TimesNewRoman"/>
          <w:color w:val="000000"/>
          <w:sz w:val="24"/>
          <w:szCs w:val="24"/>
        </w:rPr>
      </w:pPr>
      <w:r w:rsidRPr="00B4668A">
        <w:rPr>
          <w:rFonts w:ascii="Century Gothic" w:hAnsi="Century Gothic" w:cs="GEJIJJ+TimesNewRoman"/>
          <w:color w:val="000000"/>
          <w:sz w:val="24"/>
          <w:szCs w:val="24"/>
        </w:rPr>
        <w:t xml:space="preserve">séparation du dioxyde de soufre et utilisation pour la production d’acide sulfurique; </w:t>
      </w:r>
    </w:p>
    <w:p w:rsidR="0050652C" w:rsidRPr="00B4668A" w:rsidRDefault="002A221F" w:rsidP="00B4668A">
      <w:pPr>
        <w:pStyle w:val="Paragraphedeliste"/>
        <w:numPr>
          <w:ilvl w:val="1"/>
          <w:numId w:val="2"/>
        </w:numPr>
        <w:autoSpaceDE w:val="0"/>
        <w:autoSpaceDN w:val="0"/>
        <w:adjustRightInd w:val="0"/>
        <w:spacing w:after="0" w:line="360" w:lineRule="auto"/>
        <w:ind w:left="993"/>
        <w:jc w:val="both"/>
        <w:rPr>
          <w:rFonts w:ascii="Century Gothic" w:hAnsi="Century Gothic" w:cs="GEJIJJ+TimesNewRoman"/>
          <w:color w:val="000000"/>
          <w:sz w:val="24"/>
          <w:szCs w:val="24"/>
        </w:rPr>
      </w:pPr>
      <w:r w:rsidRPr="00B4668A">
        <w:rPr>
          <w:rFonts w:ascii="Century Gothic" w:hAnsi="Century Gothic" w:cs="GEJIJJ+TimesNewRoman"/>
          <w:color w:val="000000"/>
          <w:sz w:val="24"/>
          <w:szCs w:val="24"/>
        </w:rPr>
        <w:t xml:space="preserve">séparation de l’oxyde de carbone et utilisation comme combustible. </w:t>
      </w:r>
    </w:p>
    <w:p w:rsidR="0050652C" w:rsidRPr="00B4668A" w:rsidRDefault="0050652C" w:rsidP="00B4668A">
      <w:pPr>
        <w:autoSpaceDE w:val="0"/>
        <w:autoSpaceDN w:val="0"/>
        <w:adjustRightInd w:val="0"/>
        <w:spacing w:after="0" w:line="360" w:lineRule="auto"/>
        <w:jc w:val="both"/>
        <w:rPr>
          <w:rFonts w:ascii="Century Gothic" w:hAnsi="Century Gothic" w:cs="GEJIJJ+TimesNewRoman"/>
          <w:color w:val="000000"/>
          <w:sz w:val="24"/>
          <w:szCs w:val="24"/>
        </w:rPr>
      </w:pPr>
    </w:p>
    <w:p w:rsidR="002A221F" w:rsidRPr="00B4668A" w:rsidRDefault="002A221F" w:rsidP="00B4668A">
      <w:pPr>
        <w:autoSpaceDE w:val="0"/>
        <w:autoSpaceDN w:val="0"/>
        <w:adjustRightInd w:val="0"/>
        <w:spacing w:after="0" w:line="360" w:lineRule="auto"/>
        <w:jc w:val="both"/>
        <w:rPr>
          <w:rFonts w:ascii="Century Gothic" w:hAnsi="Century Gothic" w:cs="FGHCHM+TimesNewRoman,Bold"/>
          <w:color w:val="000000"/>
          <w:sz w:val="24"/>
          <w:szCs w:val="24"/>
        </w:rPr>
      </w:pPr>
      <w:r w:rsidRPr="00B4668A">
        <w:rPr>
          <w:rFonts w:ascii="Century Gothic" w:hAnsi="Century Gothic" w:cs="FGHCHM+TimesNewRoman,Bold"/>
          <w:b/>
          <w:bCs/>
          <w:color w:val="000000"/>
          <w:sz w:val="24"/>
          <w:szCs w:val="24"/>
        </w:rPr>
        <w:t xml:space="preserve">Moyens de contrôle de la qualité hydrique </w:t>
      </w:r>
    </w:p>
    <w:p w:rsidR="002A221F" w:rsidRPr="00B4668A" w:rsidRDefault="002A221F" w:rsidP="00B4668A">
      <w:pPr>
        <w:autoSpaceDE w:val="0"/>
        <w:autoSpaceDN w:val="0"/>
        <w:adjustRightInd w:val="0"/>
        <w:spacing w:after="0" w:line="360" w:lineRule="auto"/>
        <w:jc w:val="both"/>
        <w:rPr>
          <w:rFonts w:ascii="Century Gothic" w:hAnsi="Century Gothic" w:cs="GEJIJJ+TimesNewRoman"/>
          <w:color w:val="000000"/>
          <w:sz w:val="24"/>
          <w:szCs w:val="24"/>
        </w:rPr>
      </w:pPr>
    </w:p>
    <w:p w:rsidR="002A221F" w:rsidRPr="00B4668A" w:rsidRDefault="002A221F" w:rsidP="00B4668A">
      <w:pPr>
        <w:pStyle w:val="Paragraphedeliste"/>
        <w:numPr>
          <w:ilvl w:val="0"/>
          <w:numId w:val="2"/>
        </w:numPr>
        <w:autoSpaceDE w:val="0"/>
        <w:autoSpaceDN w:val="0"/>
        <w:adjustRightInd w:val="0"/>
        <w:spacing w:after="0" w:line="360" w:lineRule="auto"/>
        <w:ind w:left="284"/>
        <w:jc w:val="both"/>
        <w:rPr>
          <w:rFonts w:ascii="Century Gothic" w:hAnsi="Century Gothic" w:cs="GEJIJJ+TimesNewRoman"/>
          <w:color w:val="000000"/>
          <w:sz w:val="24"/>
          <w:szCs w:val="24"/>
        </w:rPr>
      </w:pPr>
      <w:r w:rsidRPr="00B4668A">
        <w:rPr>
          <w:rFonts w:ascii="Century Gothic" w:hAnsi="Century Gothic" w:cs="GEJIJJ+TimesNewRoman"/>
          <w:color w:val="000000"/>
          <w:sz w:val="24"/>
          <w:szCs w:val="24"/>
        </w:rPr>
        <w:t xml:space="preserve">Les solutions de lutte contre la pollution de l’eau incluent : </w:t>
      </w:r>
    </w:p>
    <w:p w:rsidR="0050652C" w:rsidRPr="00B4668A" w:rsidRDefault="002A221F" w:rsidP="00B4668A">
      <w:pPr>
        <w:pStyle w:val="Paragraphedeliste"/>
        <w:numPr>
          <w:ilvl w:val="1"/>
          <w:numId w:val="2"/>
        </w:numPr>
        <w:autoSpaceDE w:val="0"/>
        <w:autoSpaceDN w:val="0"/>
        <w:adjustRightInd w:val="0"/>
        <w:spacing w:after="0" w:line="360" w:lineRule="auto"/>
        <w:ind w:left="993"/>
        <w:jc w:val="both"/>
        <w:rPr>
          <w:rFonts w:ascii="Century Gothic" w:hAnsi="Century Gothic" w:cs="GEJIJJ+TimesNewRoman"/>
          <w:color w:val="000000"/>
          <w:sz w:val="24"/>
          <w:szCs w:val="24"/>
        </w:rPr>
      </w:pPr>
      <w:r w:rsidRPr="00B4668A">
        <w:rPr>
          <w:rFonts w:ascii="Century Gothic" w:hAnsi="Century Gothic" w:cs="GEJIJJ+TimesNewRoman"/>
          <w:color w:val="000000"/>
          <w:sz w:val="24"/>
          <w:szCs w:val="24"/>
        </w:rPr>
        <w:t xml:space="preserve">recyclage des eaux usées; </w:t>
      </w:r>
    </w:p>
    <w:p w:rsidR="0050652C" w:rsidRPr="00B4668A" w:rsidRDefault="002A221F" w:rsidP="00B4668A">
      <w:pPr>
        <w:pStyle w:val="Paragraphedeliste"/>
        <w:numPr>
          <w:ilvl w:val="1"/>
          <w:numId w:val="2"/>
        </w:numPr>
        <w:autoSpaceDE w:val="0"/>
        <w:autoSpaceDN w:val="0"/>
        <w:adjustRightInd w:val="0"/>
        <w:spacing w:after="0" w:line="360" w:lineRule="auto"/>
        <w:ind w:left="993"/>
        <w:jc w:val="both"/>
        <w:rPr>
          <w:rFonts w:ascii="Century Gothic" w:hAnsi="Century Gothic" w:cs="GEJIJJ+TimesNewRoman"/>
          <w:color w:val="000000"/>
          <w:sz w:val="24"/>
          <w:szCs w:val="24"/>
        </w:rPr>
      </w:pPr>
      <w:r w:rsidRPr="00B4668A">
        <w:rPr>
          <w:rFonts w:ascii="Century Gothic" w:hAnsi="Century Gothic" w:cs="GEJIJJ+TimesNewRoman"/>
          <w:color w:val="000000"/>
          <w:sz w:val="24"/>
          <w:szCs w:val="24"/>
        </w:rPr>
        <w:t xml:space="preserve">évaporation solaire; </w:t>
      </w:r>
    </w:p>
    <w:p w:rsidR="0050652C" w:rsidRPr="00B4668A" w:rsidRDefault="002A221F" w:rsidP="00B4668A">
      <w:pPr>
        <w:pStyle w:val="Paragraphedeliste"/>
        <w:numPr>
          <w:ilvl w:val="1"/>
          <w:numId w:val="2"/>
        </w:numPr>
        <w:autoSpaceDE w:val="0"/>
        <w:autoSpaceDN w:val="0"/>
        <w:adjustRightInd w:val="0"/>
        <w:spacing w:after="0" w:line="360" w:lineRule="auto"/>
        <w:ind w:left="993"/>
        <w:jc w:val="both"/>
        <w:rPr>
          <w:rFonts w:ascii="Century Gothic" w:hAnsi="Century Gothic" w:cs="GEJIJJ+TimesNewRoman"/>
          <w:color w:val="000000"/>
          <w:sz w:val="24"/>
          <w:szCs w:val="24"/>
        </w:rPr>
      </w:pPr>
      <w:r w:rsidRPr="00B4668A">
        <w:rPr>
          <w:rFonts w:ascii="Century Gothic" w:hAnsi="Century Gothic" w:cs="GEJIJJ+TimesNewRoman"/>
          <w:color w:val="000000"/>
          <w:sz w:val="24"/>
          <w:szCs w:val="24"/>
        </w:rPr>
        <w:t xml:space="preserve">précipitation; </w:t>
      </w:r>
    </w:p>
    <w:p w:rsidR="0050652C" w:rsidRPr="00B4668A" w:rsidRDefault="002A221F" w:rsidP="00B4668A">
      <w:pPr>
        <w:pStyle w:val="Paragraphedeliste"/>
        <w:numPr>
          <w:ilvl w:val="1"/>
          <w:numId w:val="2"/>
        </w:numPr>
        <w:autoSpaceDE w:val="0"/>
        <w:autoSpaceDN w:val="0"/>
        <w:adjustRightInd w:val="0"/>
        <w:spacing w:after="0" w:line="360" w:lineRule="auto"/>
        <w:ind w:left="993"/>
        <w:jc w:val="both"/>
        <w:rPr>
          <w:rFonts w:ascii="Century Gothic" w:hAnsi="Century Gothic" w:cs="GEJIJJ+TimesNewRoman"/>
          <w:color w:val="000000"/>
          <w:sz w:val="24"/>
          <w:szCs w:val="24"/>
        </w:rPr>
      </w:pPr>
      <w:r w:rsidRPr="00B4668A">
        <w:rPr>
          <w:rFonts w:ascii="Century Gothic" w:hAnsi="Century Gothic" w:cs="GEJIJJ+TimesNewRoman"/>
          <w:color w:val="000000"/>
          <w:sz w:val="24"/>
          <w:szCs w:val="24"/>
        </w:rPr>
        <w:t xml:space="preserve">floculation, sédimentation, clarification et filtration; </w:t>
      </w:r>
    </w:p>
    <w:p w:rsidR="0050652C" w:rsidRPr="00B4668A" w:rsidRDefault="002A221F" w:rsidP="00B4668A">
      <w:pPr>
        <w:pStyle w:val="Paragraphedeliste"/>
        <w:numPr>
          <w:ilvl w:val="1"/>
          <w:numId w:val="2"/>
        </w:numPr>
        <w:autoSpaceDE w:val="0"/>
        <w:autoSpaceDN w:val="0"/>
        <w:adjustRightInd w:val="0"/>
        <w:spacing w:after="0" w:line="360" w:lineRule="auto"/>
        <w:ind w:left="993"/>
        <w:jc w:val="both"/>
        <w:rPr>
          <w:rFonts w:ascii="Century Gothic" w:hAnsi="Century Gothic" w:cs="GEJIJJ+TimesNewRoman"/>
          <w:color w:val="000000"/>
          <w:sz w:val="24"/>
          <w:szCs w:val="24"/>
        </w:rPr>
      </w:pPr>
      <w:r w:rsidRPr="00B4668A">
        <w:rPr>
          <w:rFonts w:ascii="Century Gothic" w:hAnsi="Century Gothic" w:cs="GEJIJJ+TimesNewRoman"/>
          <w:color w:val="000000"/>
          <w:sz w:val="24"/>
          <w:szCs w:val="24"/>
        </w:rPr>
        <w:t xml:space="preserve">échange ionique, filtration par membrane et osmose inverse; </w:t>
      </w:r>
    </w:p>
    <w:p w:rsidR="0050652C" w:rsidRPr="00B4668A" w:rsidRDefault="002A221F" w:rsidP="00B4668A">
      <w:pPr>
        <w:pStyle w:val="Paragraphedeliste"/>
        <w:numPr>
          <w:ilvl w:val="1"/>
          <w:numId w:val="2"/>
        </w:numPr>
        <w:autoSpaceDE w:val="0"/>
        <w:autoSpaceDN w:val="0"/>
        <w:adjustRightInd w:val="0"/>
        <w:spacing w:after="0" w:line="360" w:lineRule="auto"/>
        <w:ind w:left="993"/>
        <w:jc w:val="both"/>
        <w:rPr>
          <w:rFonts w:ascii="Century Gothic" w:hAnsi="Century Gothic" w:cs="GEJIJJ+TimesNewRoman"/>
          <w:color w:val="000000"/>
          <w:sz w:val="24"/>
          <w:szCs w:val="24"/>
        </w:rPr>
      </w:pPr>
      <w:r w:rsidRPr="00B4668A">
        <w:rPr>
          <w:rFonts w:ascii="Century Gothic" w:hAnsi="Century Gothic" w:cs="GEJIJJ+TimesNewRoman"/>
          <w:color w:val="000000"/>
          <w:sz w:val="24"/>
          <w:szCs w:val="24"/>
        </w:rPr>
        <w:t xml:space="preserve">neutralisation (contrôle actif du pH); </w:t>
      </w:r>
    </w:p>
    <w:p w:rsidR="0050652C" w:rsidRPr="00B4668A" w:rsidRDefault="002A221F" w:rsidP="00B4668A">
      <w:pPr>
        <w:pStyle w:val="Paragraphedeliste"/>
        <w:numPr>
          <w:ilvl w:val="1"/>
          <w:numId w:val="2"/>
        </w:numPr>
        <w:autoSpaceDE w:val="0"/>
        <w:autoSpaceDN w:val="0"/>
        <w:adjustRightInd w:val="0"/>
        <w:spacing w:after="0" w:line="360" w:lineRule="auto"/>
        <w:ind w:left="993"/>
        <w:jc w:val="both"/>
        <w:rPr>
          <w:rFonts w:ascii="Century Gothic" w:hAnsi="Century Gothic" w:cs="GEJIJJ+TimesNewRoman"/>
          <w:color w:val="000000"/>
          <w:sz w:val="24"/>
          <w:szCs w:val="24"/>
        </w:rPr>
      </w:pPr>
      <w:r w:rsidRPr="00B4668A">
        <w:rPr>
          <w:rFonts w:ascii="Century Gothic" w:hAnsi="Century Gothic" w:cs="GEJIJJ+TimesNewRoman"/>
          <w:color w:val="000000"/>
          <w:sz w:val="24"/>
          <w:szCs w:val="24"/>
        </w:rPr>
        <w:lastRenderedPageBreak/>
        <w:t xml:space="preserve">traitement biologique, si nécessaire. </w:t>
      </w:r>
    </w:p>
    <w:p w:rsidR="0050652C" w:rsidRPr="00B4668A" w:rsidRDefault="0050652C" w:rsidP="00B4668A">
      <w:pPr>
        <w:autoSpaceDE w:val="0"/>
        <w:autoSpaceDN w:val="0"/>
        <w:adjustRightInd w:val="0"/>
        <w:spacing w:after="0" w:line="360" w:lineRule="auto"/>
        <w:jc w:val="both"/>
        <w:rPr>
          <w:rFonts w:ascii="Century Gothic" w:hAnsi="Century Gothic" w:cs="GEJIJJ+TimesNewRoman"/>
          <w:color w:val="000000"/>
          <w:sz w:val="24"/>
          <w:szCs w:val="24"/>
        </w:rPr>
      </w:pPr>
    </w:p>
    <w:p w:rsidR="0050652C" w:rsidRPr="00B4668A" w:rsidRDefault="002A221F" w:rsidP="00B4668A">
      <w:pPr>
        <w:autoSpaceDE w:val="0"/>
        <w:autoSpaceDN w:val="0"/>
        <w:adjustRightInd w:val="0"/>
        <w:spacing w:after="0" w:line="360" w:lineRule="auto"/>
        <w:jc w:val="both"/>
        <w:rPr>
          <w:rFonts w:ascii="Century Gothic" w:hAnsi="Century Gothic" w:cs="FGHCHM+TimesNewRoman,Bold"/>
          <w:color w:val="000000"/>
          <w:sz w:val="24"/>
          <w:szCs w:val="24"/>
        </w:rPr>
      </w:pPr>
      <w:r w:rsidRPr="00B4668A">
        <w:rPr>
          <w:rFonts w:ascii="Century Gothic" w:hAnsi="Century Gothic" w:cs="FGHCHM+TimesNewRoman,Bold"/>
          <w:b/>
          <w:bCs/>
          <w:color w:val="000000"/>
          <w:sz w:val="24"/>
          <w:szCs w:val="24"/>
        </w:rPr>
        <w:t xml:space="preserve">Gestion et formation </w:t>
      </w:r>
    </w:p>
    <w:p w:rsidR="002A221F" w:rsidRPr="00B4668A" w:rsidRDefault="002A221F" w:rsidP="00B4668A">
      <w:pPr>
        <w:autoSpaceDE w:val="0"/>
        <w:autoSpaceDN w:val="0"/>
        <w:adjustRightInd w:val="0"/>
        <w:spacing w:after="0" w:line="360" w:lineRule="auto"/>
        <w:jc w:val="both"/>
        <w:rPr>
          <w:rFonts w:ascii="Century Gothic" w:hAnsi="Century Gothic" w:cs="GEJIJJ+TimesNewRoman"/>
          <w:color w:val="000000"/>
          <w:sz w:val="24"/>
          <w:szCs w:val="24"/>
        </w:rPr>
      </w:pPr>
    </w:p>
    <w:p w:rsidR="002A221F" w:rsidRPr="00B4668A" w:rsidRDefault="002A221F" w:rsidP="00B4668A">
      <w:pPr>
        <w:pStyle w:val="Paragraphedeliste"/>
        <w:numPr>
          <w:ilvl w:val="0"/>
          <w:numId w:val="2"/>
        </w:numPr>
        <w:autoSpaceDE w:val="0"/>
        <w:autoSpaceDN w:val="0"/>
        <w:adjustRightInd w:val="0"/>
        <w:spacing w:after="0" w:line="360" w:lineRule="auto"/>
        <w:ind w:left="284"/>
        <w:jc w:val="both"/>
        <w:rPr>
          <w:rFonts w:ascii="Century Gothic" w:hAnsi="Century Gothic" w:cs="GEJIJJ+TimesNewRoman"/>
          <w:color w:val="000000"/>
          <w:sz w:val="24"/>
          <w:szCs w:val="24"/>
        </w:rPr>
      </w:pPr>
      <w:r w:rsidRPr="00B4668A">
        <w:rPr>
          <w:rFonts w:ascii="Century Gothic" w:hAnsi="Century Gothic" w:cs="GEJIJJ+TimesNewRoman"/>
          <w:color w:val="000000"/>
          <w:sz w:val="24"/>
          <w:szCs w:val="24"/>
        </w:rPr>
        <w:t xml:space="preserve">Une gestion efficace permettant de lutter contre la pollution et de réduire les déchets suppose un soutien institutionnel aux fins d’atténuer les effets potentiellement négatifs que les usines de traitement des métaux ferreux ont sur la qualité de l’air et de l’eau. Un ingénieur formé en matière de lutte contre la pollution de l’eau et de l’air et connaissant les technologies de contrôle en usage devrait faire partie de l’équipe du personnel de l’usine. Les fabricants sont généralement prêts, sur demande, à offrir des séances de formation expliquant la façon de manœuvrer  et d’entretenir les équipements. </w:t>
      </w:r>
    </w:p>
    <w:p w:rsidR="002A221F" w:rsidRPr="00B4668A" w:rsidRDefault="002A221F" w:rsidP="00B4668A">
      <w:pPr>
        <w:autoSpaceDE w:val="0"/>
        <w:autoSpaceDN w:val="0"/>
        <w:adjustRightInd w:val="0"/>
        <w:spacing w:after="0" w:line="360" w:lineRule="auto"/>
        <w:ind w:left="284"/>
        <w:jc w:val="both"/>
        <w:rPr>
          <w:rFonts w:ascii="Century Gothic" w:hAnsi="Century Gothic" w:cs="GEJIJJ+TimesNewRoman"/>
          <w:color w:val="000000"/>
          <w:sz w:val="24"/>
          <w:szCs w:val="24"/>
        </w:rPr>
      </w:pPr>
    </w:p>
    <w:p w:rsidR="002A221F" w:rsidRPr="00B4668A" w:rsidRDefault="002A221F" w:rsidP="00B4668A">
      <w:pPr>
        <w:pStyle w:val="Paragraphedeliste"/>
        <w:numPr>
          <w:ilvl w:val="0"/>
          <w:numId w:val="2"/>
        </w:numPr>
        <w:autoSpaceDE w:val="0"/>
        <w:autoSpaceDN w:val="0"/>
        <w:adjustRightInd w:val="0"/>
        <w:spacing w:after="0" w:line="360" w:lineRule="auto"/>
        <w:ind w:left="284"/>
        <w:jc w:val="both"/>
        <w:rPr>
          <w:rFonts w:ascii="Century Gothic" w:hAnsi="Century Gothic" w:cs="GEJIJJ+TimesNewRoman"/>
          <w:color w:val="000000"/>
          <w:sz w:val="24"/>
          <w:szCs w:val="24"/>
        </w:rPr>
      </w:pPr>
      <w:r w:rsidRPr="00B4668A">
        <w:rPr>
          <w:rFonts w:ascii="Century Gothic" w:hAnsi="Century Gothic" w:cs="GEJIJJ+TimesNewRoman"/>
          <w:color w:val="000000"/>
          <w:sz w:val="24"/>
          <w:szCs w:val="24"/>
        </w:rPr>
        <w:t xml:space="preserve">Les procédures standard d’exploitation et d’entretien prévues devraient être établies et mises en vigueur par la direction de l’usine. Elles devraient également prévoir des équipements antipollution, des modalités de suivi de l’air et de l’eau ainsi que des instructions en matière d’avis et de fermeture de l’installation ou d’autres consignes permettant de faire face à un matériel de dépollution défectueux. </w:t>
      </w:r>
    </w:p>
    <w:p w:rsidR="0050652C" w:rsidRPr="00B4668A" w:rsidRDefault="0050652C" w:rsidP="00B4668A">
      <w:pPr>
        <w:autoSpaceDE w:val="0"/>
        <w:autoSpaceDN w:val="0"/>
        <w:adjustRightInd w:val="0"/>
        <w:spacing w:after="0" w:line="360" w:lineRule="auto"/>
        <w:ind w:left="284"/>
        <w:jc w:val="both"/>
        <w:rPr>
          <w:rFonts w:ascii="Century Gothic" w:hAnsi="Century Gothic" w:cs="GEJIJJ+TimesNewRoman"/>
          <w:color w:val="000000"/>
          <w:sz w:val="24"/>
          <w:szCs w:val="24"/>
        </w:rPr>
      </w:pPr>
    </w:p>
    <w:p w:rsidR="0050652C" w:rsidRPr="00B4668A" w:rsidRDefault="002A221F" w:rsidP="00B4668A">
      <w:pPr>
        <w:pStyle w:val="Paragraphedeliste"/>
        <w:numPr>
          <w:ilvl w:val="0"/>
          <w:numId w:val="2"/>
        </w:numPr>
        <w:autoSpaceDE w:val="0"/>
        <w:autoSpaceDN w:val="0"/>
        <w:adjustRightInd w:val="0"/>
        <w:spacing w:after="0" w:line="360" w:lineRule="auto"/>
        <w:ind w:left="284"/>
        <w:jc w:val="both"/>
        <w:rPr>
          <w:rFonts w:ascii="Century Gothic" w:hAnsi="Century Gothic" w:cs="GEJIJJ+TimesNewRoman"/>
          <w:color w:val="000000"/>
          <w:sz w:val="24"/>
          <w:szCs w:val="24"/>
        </w:rPr>
      </w:pPr>
      <w:r w:rsidRPr="00B4668A">
        <w:rPr>
          <w:rFonts w:ascii="Century Gothic" w:hAnsi="Century Gothic" w:cs="GEJIJJ+TimesNewRoman"/>
          <w:color w:val="000000"/>
          <w:sz w:val="24"/>
          <w:szCs w:val="24"/>
        </w:rPr>
        <w:t xml:space="preserve">Des règlements en matière de santé et de sécurité devraient être établis et mis en vigueur dans l’usine. Ces règlements devraient comprendre : </w:t>
      </w:r>
    </w:p>
    <w:p w:rsidR="0050652C" w:rsidRPr="00B4668A" w:rsidRDefault="002A221F" w:rsidP="00B4668A">
      <w:pPr>
        <w:pStyle w:val="Paragraphedeliste"/>
        <w:numPr>
          <w:ilvl w:val="1"/>
          <w:numId w:val="2"/>
        </w:numPr>
        <w:autoSpaceDE w:val="0"/>
        <w:autoSpaceDN w:val="0"/>
        <w:adjustRightInd w:val="0"/>
        <w:spacing w:after="0" w:line="360" w:lineRule="auto"/>
        <w:ind w:left="993"/>
        <w:jc w:val="both"/>
        <w:rPr>
          <w:rFonts w:ascii="Century Gothic" w:hAnsi="Century Gothic" w:cs="GEJIJJ+TimesNewRoman"/>
          <w:color w:val="000000"/>
          <w:sz w:val="24"/>
          <w:szCs w:val="24"/>
        </w:rPr>
      </w:pPr>
      <w:r w:rsidRPr="00B4668A">
        <w:rPr>
          <w:rFonts w:ascii="Century Gothic" w:hAnsi="Century Gothic" w:cs="GEJIJJ+TimesNewRoman"/>
          <w:color w:val="000000"/>
          <w:sz w:val="24"/>
          <w:szCs w:val="24"/>
        </w:rPr>
        <w:t xml:space="preserve">Des dispositions permettant d’enrayer et de faire face aux fuites accidentelles de gaz dangereux et aux déversements d’acides. </w:t>
      </w:r>
    </w:p>
    <w:p w:rsidR="0050652C" w:rsidRPr="00B4668A" w:rsidRDefault="002A221F" w:rsidP="00B4668A">
      <w:pPr>
        <w:pStyle w:val="Paragraphedeliste"/>
        <w:numPr>
          <w:ilvl w:val="1"/>
          <w:numId w:val="2"/>
        </w:numPr>
        <w:autoSpaceDE w:val="0"/>
        <w:autoSpaceDN w:val="0"/>
        <w:adjustRightInd w:val="0"/>
        <w:spacing w:after="0" w:line="360" w:lineRule="auto"/>
        <w:ind w:left="993"/>
        <w:jc w:val="both"/>
        <w:rPr>
          <w:rFonts w:ascii="Century Gothic" w:hAnsi="Century Gothic" w:cs="GEJIJJ+TimesNewRoman"/>
          <w:color w:val="000000"/>
          <w:sz w:val="24"/>
          <w:szCs w:val="24"/>
        </w:rPr>
      </w:pPr>
      <w:r w:rsidRPr="00B4668A">
        <w:rPr>
          <w:rFonts w:ascii="Century Gothic" w:hAnsi="Century Gothic" w:cs="GEJIJJ+TimesNewRoman"/>
          <w:color w:val="000000"/>
          <w:sz w:val="24"/>
          <w:szCs w:val="24"/>
        </w:rPr>
        <w:t xml:space="preserve">Des procédures permettant de maintenir l’exposition aux gaz toxiques et aux particules transportées par l’air en deçà des limites nationales ou établies par les réglementations </w:t>
      </w:r>
      <w:r w:rsidR="00162B3C">
        <w:rPr>
          <w:rFonts w:ascii="Century Gothic" w:hAnsi="Century Gothic" w:cs="GEJIJJ+TimesNewRoman"/>
          <w:color w:val="000000"/>
          <w:sz w:val="24"/>
          <w:szCs w:val="24"/>
        </w:rPr>
        <w:t xml:space="preserve">mises en place par les institutions internationales de développement telle que </w:t>
      </w:r>
      <w:r w:rsidRPr="00B4668A">
        <w:rPr>
          <w:rFonts w:ascii="Century Gothic" w:hAnsi="Century Gothic" w:cs="GEJIJJ+TimesNewRoman"/>
          <w:color w:val="000000"/>
          <w:sz w:val="24"/>
          <w:szCs w:val="24"/>
        </w:rPr>
        <w:t>la Banque mondiale</w:t>
      </w:r>
      <w:r w:rsidR="00162B3C">
        <w:rPr>
          <w:rFonts w:ascii="Century Gothic" w:hAnsi="Century Gothic" w:cs="GEJIJJ+TimesNewRoman"/>
          <w:color w:val="000000"/>
          <w:sz w:val="24"/>
          <w:szCs w:val="24"/>
        </w:rPr>
        <w:t xml:space="preserve"> et l’OMS</w:t>
      </w:r>
      <w:r w:rsidRPr="00B4668A">
        <w:rPr>
          <w:rFonts w:ascii="Century Gothic" w:hAnsi="Century Gothic" w:cs="GEJIJJ+TimesNewRoman"/>
          <w:color w:val="000000"/>
          <w:sz w:val="24"/>
          <w:szCs w:val="24"/>
        </w:rPr>
        <w:t xml:space="preserve">. </w:t>
      </w:r>
    </w:p>
    <w:p w:rsidR="0050652C" w:rsidRPr="00B4668A" w:rsidRDefault="002A221F" w:rsidP="00B4668A">
      <w:pPr>
        <w:pStyle w:val="Paragraphedeliste"/>
        <w:numPr>
          <w:ilvl w:val="1"/>
          <w:numId w:val="2"/>
        </w:numPr>
        <w:autoSpaceDE w:val="0"/>
        <w:autoSpaceDN w:val="0"/>
        <w:adjustRightInd w:val="0"/>
        <w:spacing w:after="0" w:line="360" w:lineRule="auto"/>
        <w:ind w:left="993"/>
        <w:jc w:val="both"/>
        <w:rPr>
          <w:rFonts w:ascii="Century Gothic" w:hAnsi="Century Gothic" w:cs="GEJIJJ+TimesNewRoman"/>
          <w:color w:val="000000"/>
          <w:sz w:val="24"/>
          <w:szCs w:val="24"/>
        </w:rPr>
      </w:pPr>
      <w:r w:rsidRPr="00B4668A">
        <w:rPr>
          <w:rFonts w:ascii="Century Gothic" w:hAnsi="Century Gothic" w:cs="GEJIJJ+TimesNewRoman"/>
          <w:color w:val="000000"/>
          <w:sz w:val="24"/>
          <w:szCs w:val="24"/>
        </w:rPr>
        <w:t xml:space="preserve">Un programme de visites médicales de routine. </w:t>
      </w:r>
    </w:p>
    <w:p w:rsidR="0050652C" w:rsidRPr="00B4668A" w:rsidRDefault="002A221F" w:rsidP="00B4668A">
      <w:pPr>
        <w:pStyle w:val="Paragraphedeliste"/>
        <w:numPr>
          <w:ilvl w:val="1"/>
          <w:numId w:val="2"/>
        </w:numPr>
        <w:autoSpaceDE w:val="0"/>
        <w:autoSpaceDN w:val="0"/>
        <w:adjustRightInd w:val="0"/>
        <w:spacing w:after="0" w:line="360" w:lineRule="auto"/>
        <w:ind w:left="993"/>
        <w:jc w:val="both"/>
        <w:rPr>
          <w:rFonts w:ascii="Century Gothic" w:hAnsi="Century Gothic" w:cs="GEJIJJ+TimesNewRoman"/>
          <w:color w:val="000000"/>
          <w:sz w:val="24"/>
          <w:szCs w:val="24"/>
        </w:rPr>
      </w:pPr>
      <w:r w:rsidRPr="00B4668A">
        <w:rPr>
          <w:rFonts w:ascii="Century Gothic" w:hAnsi="Century Gothic" w:cs="GEJIJJ+TimesNewRoman"/>
          <w:color w:val="000000"/>
          <w:sz w:val="24"/>
          <w:szCs w:val="24"/>
        </w:rPr>
        <w:t xml:space="preserve">Un programme de formation continue relative aux questions de santé et de sécurité du travail et aux aspects portant sur les pratiques d’entretien de l’environnement. </w:t>
      </w:r>
    </w:p>
    <w:p w:rsidR="0050652C" w:rsidRPr="00B4668A" w:rsidRDefault="002A221F" w:rsidP="00FE41A1">
      <w:pPr>
        <w:pStyle w:val="Paragraphedeliste"/>
        <w:widowControl w:val="0"/>
        <w:numPr>
          <w:ilvl w:val="1"/>
          <w:numId w:val="2"/>
        </w:numPr>
        <w:autoSpaceDE w:val="0"/>
        <w:autoSpaceDN w:val="0"/>
        <w:adjustRightInd w:val="0"/>
        <w:spacing w:after="0" w:line="360" w:lineRule="auto"/>
        <w:ind w:left="993"/>
        <w:jc w:val="both"/>
        <w:rPr>
          <w:rFonts w:ascii="Century Gothic" w:hAnsi="Century Gothic" w:cs="GEJIJJ+TimesNewRoman"/>
          <w:color w:val="000000"/>
          <w:sz w:val="24"/>
          <w:szCs w:val="24"/>
        </w:rPr>
      </w:pPr>
      <w:r w:rsidRPr="00B4668A">
        <w:rPr>
          <w:rFonts w:ascii="Century Gothic" w:hAnsi="Century Gothic" w:cs="GEJIJJ+TimesNewRoman"/>
          <w:color w:val="000000"/>
          <w:sz w:val="24"/>
          <w:szCs w:val="24"/>
        </w:rPr>
        <w:lastRenderedPageBreak/>
        <w:t xml:space="preserve">Un plan d’action comprenant des procédures d’urgence faisant appel à des exercices réguliers d’entraînement pour répondre à un déversement, à une fuite, à une explosion ou à un incendie. </w:t>
      </w:r>
    </w:p>
    <w:p w:rsidR="002A221F" w:rsidRPr="00B4668A" w:rsidRDefault="002A221F" w:rsidP="00FE41A1">
      <w:pPr>
        <w:widowControl w:val="0"/>
        <w:autoSpaceDE w:val="0"/>
        <w:autoSpaceDN w:val="0"/>
        <w:adjustRightInd w:val="0"/>
        <w:spacing w:after="0" w:line="360" w:lineRule="auto"/>
        <w:jc w:val="both"/>
        <w:rPr>
          <w:rFonts w:ascii="Century Gothic" w:hAnsi="Century Gothic" w:cs="GEJIJJ+TimesNewRoman"/>
          <w:color w:val="000000"/>
          <w:sz w:val="24"/>
          <w:szCs w:val="24"/>
        </w:rPr>
      </w:pPr>
      <w:r w:rsidRPr="00B4668A">
        <w:rPr>
          <w:rFonts w:ascii="Century Gothic" w:hAnsi="Century Gothic" w:cs="GEJIJJ+TimesNewRoman"/>
          <w:color w:val="000000"/>
          <w:sz w:val="24"/>
          <w:szCs w:val="24"/>
        </w:rPr>
        <w:t xml:space="preserve"> (Se reporter </w:t>
      </w:r>
      <w:r w:rsidR="007103C9" w:rsidRPr="00B4668A">
        <w:rPr>
          <w:rFonts w:ascii="Century Gothic" w:hAnsi="Century Gothic" w:cs="GEJIJJ+TimesNewRoman"/>
          <w:color w:val="000000"/>
          <w:sz w:val="24"/>
          <w:szCs w:val="24"/>
        </w:rPr>
        <w:t>au directives</w:t>
      </w:r>
      <w:r w:rsidRPr="00B4668A">
        <w:rPr>
          <w:rFonts w:ascii="Century Gothic" w:hAnsi="Century Gothic" w:cs="GEJIJJ+TimesNewRoman"/>
          <w:color w:val="000000"/>
          <w:sz w:val="24"/>
          <w:szCs w:val="24"/>
        </w:rPr>
        <w:t xml:space="preserve"> « Gestion des risques industriels » et aux </w:t>
      </w:r>
      <w:r w:rsidR="007103C9" w:rsidRPr="00B4668A">
        <w:rPr>
          <w:rFonts w:ascii="Century Gothic" w:hAnsi="Century Gothic" w:cs="GEJIJJ+TimesNewRoman"/>
          <w:color w:val="000000"/>
          <w:sz w:val="24"/>
          <w:szCs w:val="24"/>
        </w:rPr>
        <w:t>directives</w:t>
      </w:r>
      <w:r w:rsidRPr="00B4668A">
        <w:rPr>
          <w:rFonts w:ascii="Century Gothic" w:hAnsi="Century Gothic" w:cs="GEJLGE+TimesNewRoman,Italic"/>
          <w:color w:val="000000"/>
          <w:sz w:val="24"/>
          <w:szCs w:val="24"/>
        </w:rPr>
        <w:t xml:space="preserve"> en matière de santé et de sécurité au travail </w:t>
      </w:r>
      <w:r w:rsidRPr="00B4668A">
        <w:rPr>
          <w:rFonts w:ascii="Century Gothic" w:hAnsi="Century Gothic" w:cs="GEJIJJ+TimesNewRoman"/>
          <w:color w:val="000000"/>
          <w:sz w:val="24"/>
          <w:szCs w:val="24"/>
        </w:rPr>
        <w:t xml:space="preserve">de la Banque Ouest Africaine de Développement.) </w:t>
      </w:r>
    </w:p>
    <w:p w:rsidR="002A221F" w:rsidRPr="00B4668A" w:rsidRDefault="002A221F" w:rsidP="00B4668A">
      <w:pPr>
        <w:autoSpaceDE w:val="0"/>
        <w:autoSpaceDN w:val="0"/>
        <w:adjustRightInd w:val="0"/>
        <w:spacing w:after="0" w:line="360" w:lineRule="auto"/>
        <w:jc w:val="both"/>
        <w:rPr>
          <w:rFonts w:ascii="Century Gothic" w:hAnsi="Century Gothic" w:cs="GEJIJJ+TimesNewRoman"/>
          <w:color w:val="000000"/>
          <w:sz w:val="24"/>
          <w:szCs w:val="24"/>
        </w:rPr>
      </w:pPr>
    </w:p>
    <w:p w:rsidR="002A221F" w:rsidRPr="00B4668A" w:rsidRDefault="002A221F" w:rsidP="00B4668A">
      <w:pPr>
        <w:pStyle w:val="Paragraphedeliste"/>
        <w:numPr>
          <w:ilvl w:val="0"/>
          <w:numId w:val="2"/>
        </w:numPr>
        <w:autoSpaceDE w:val="0"/>
        <w:autoSpaceDN w:val="0"/>
        <w:adjustRightInd w:val="0"/>
        <w:spacing w:after="0" w:line="360" w:lineRule="auto"/>
        <w:ind w:left="284"/>
        <w:jc w:val="both"/>
        <w:rPr>
          <w:rFonts w:ascii="Century Gothic" w:hAnsi="Century Gothic" w:cs="GEJIJJ+TimesNewRoman"/>
          <w:color w:val="000000"/>
          <w:sz w:val="24"/>
          <w:szCs w:val="24"/>
        </w:rPr>
      </w:pPr>
      <w:r w:rsidRPr="00B4668A">
        <w:rPr>
          <w:rFonts w:ascii="Century Gothic" w:hAnsi="Century Gothic" w:cs="GEJIJJ+TimesNewRoman"/>
          <w:color w:val="000000"/>
          <w:sz w:val="24"/>
          <w:szCs w:val="24"/>
        </w:rPr>
        <w:t xml:space="preserve">Les normes relatives aux émissions et aux effluents s’appliquant à l’usine devraient s’inspirer des règlements nationaux s’ils existent ou bien être établies à partir des normes préconisées par la Banque. Les agences gouvernementales chargées d’exercer un suivi du matériel antipollution, de la qualité de l’air et de l’eau, de faire respecter les normes en vigueur et de superviser les activités d’évacuation des déchets devraient disposer de l’équipement nécessaire et être investies de pouvoir. Une formation spécialisée peut s’avérer nécessaire. L’évaluation environnementale devrait prendre en compte une estimation des capacités locales en rapport à ces questions et recommander des moyens permettant de contribuer au projet. </w:t>
      </w:r>
    </w:p>
    <w:p w:rsidR="0050652C" w:rsidRPr="00B4668A" w:rsidRDefault="0050652C" w:rsidP="00B4668A">
      <w:pPr>
        <w:autoSpaceDE w:val="0"/>
        <w:autoSpaceDN w:val="0"/>
        <w:adjustRightInd w:val="0"/>
        <w:spacing w:after="0" w:line="360" w:lineRule="auto"/>
        <w:jc w:val="both"/>
        <w:rPr>
          <w:rFonts w:ascii="Century Gothic" w:hAnsi="Century Gothic" w:cs="FGHCHM+TimesNewRoman,Bold"/>
          <w:b/>
          <w:bCs/>
          <w:color w:val="000000"/>
          <w:sz w:val="24"/>
          <w:szCs w:val="24"/>
        </w:rPr>
      </w:pPr>
    </w:p>
    <w:p w:rsidR="0050652C" w:rsidRPr="00B4668A" w:rsidRDefault="002A221F" w:rsidP="00FE41A1">
      <w:pPr>
        <w:autoSpaceDE w:val="0"/>
        <w:autoSpaceDN w:val="0"/>
        <w:adjustRightInd w:val="0"/>
        <w:spacing w:after="0" w:line="360" w:lineRule="auto"/>
        <w:ind w:firstLine="284"/>
        <w:jc w:val="both"/>
        <w:rPr>
          <w:rFonts w:ascii="Century Gothic" w:hAnsi="Century Gothic" w:cs="FGHCHM+TimesNewRoman,Bold"/>
          <w:color w:val="000000"/>
          <w:sz w:val="24"/>
          <w:szCs w:val="24"/>
        </w:rPr>
      </w:pPr>
      <w:r w:rsidRPr="00B4668A">
        <w:rPr>
          <w:rFonts w:ascii="Century Gothic" w:hAnsi="Century Gothic" w:cs="FGHCHM+TimesNewRoman,Bold"/>
          <w:b/>
          <w:bCs/>
          <w:color w:val="000000"/>
          <w:sz w:val="24"/>
          <w:szCs w:val="24"/>
        </w:rPr>
        <w:t xml:space="preserve">Suivi </w:t>
      </w:r>
    </w:p>
    <w:p w:rsidR="002A221F" w:rsidRPr="00B4668A" w:rsidRDefault="002A221F" w:rsidP="00B4668A">
      <w:pPr>
        <w:autoSpaceDE w:val="0"/>
        <w:autoSpaceDN w:val="0"/>
        <w:adjustRightInd w:val="0"/>
        <w:spacing w:after="0" w:line="360" w:lineRule="auto"/>
        <w:jc w:val="both"/>
        <w:rPr>
          <w:rFonts w:ascii="Century Gothic" w:hAnsi="Century Gothic" w:cs="GEJIJJ+TimesNewRoman"/>
          <w:color w:val="000000"/>
          <w:sz w:val="24"/>
          <w:szCs w:val="24"/>
        </w:rPr>
      </w:pPr>
    </w:p>
    <w:p w:rsidR="002A221F" w:rsidRPr="00B4668A" w:rsidRDefault="002A221F" w:rsidP="00B4668A">
      <w:pPr>
        <w:pStyle w:val="Paragraphedeliste"/>
        <w:numPr>
          <w:ilvl w:val="0"/>
          <w:numId w:val="2"/>
        </w:numPr>
        <w:autoSpaceDE w:val="0"/>
        <w:autoSpaceDN w:val="0"/>
        <w:adjustRightInd w:val="0"/>
        <w:spacing w:after="0" w:line="360" w:lineRule="auto"/>
        <w:ind w:left="284"/>
        <w:jc w:val="both"/>
        <w:rPr>
          <w:rFonts w:ascii="Century Gothic" w:hAnsi="Century Gothic" w:cs="GEJIJJ+TimesNewRoman"/>
          <w:color w:val="000000"/>
          <w:sz w:val="24"/>
          <w:szCs w:val="24"/>
        </w:rPr>
      </w:pPr>
      <w:r w:rsidRPr="00B4668A">
        <w:rPr>
          <w:rFonts w:ascii="Century Gothic" w:hAnsi="Century Gothic" w:cs="GEJIJJ+TimesNewRoman"/>
          <w:color w:val="000000"/>
          <w:sz w:val="24"/>
          <w:szCs w:val="24"/>
        </w:rPr>
        <w:t xml:space="preserve">La mise en place de plans spécifiques de suivi de l’usine et de l’emplacement s’impose et comprend, en règle générale, les éléments suivants : </w:t>
      </w:r>
    </w:p>
    <w:p w:rsidR="0050652C" w:rsidRPr="00B4668A" w:rsidRDefault="002A221F" w:rsidP="00B4668A">
      <w:pPr>
        <w:pStyle w:val="Paragraphedeliste"/>
        <w:numPr>
          <w:ilvl w:val="1"/>
          <w:numId w:val="2"/>
        </w:numPr>
        <w:autoSpaceDE w:val="0"/>
        <w:autoSpaceDN w:val="0"/>
        <w:adjustRightInd w:val="0"/>
        <w:spacing w:after="0" w:line="360" w:lineRule="auto"/>
        <w:ind w:left="993"/>
        <w:jc w:val="both"/>
        <w:rPr>
          <w:rFonts w:ascii="Century Gothic" w:hAnsi="Century Gothic" w:cs="GEJIJJ+TimesNewRoman"/>
          <w:color w:val="000000"/>
          <w:sz w:val="24"/>
          <w:szCs w:val="24"/>
        </w:rPr>
      </w:pPr>
      <w:r w:rsidRPr="00B4668A">
        <w:rPr>
          <w:rFonts w:ascii="Century Gothic" w:hAnsi="Century Gothic" w:cs="GEJIJJ+TimesNewRoman"/>
          <w:color w:val="000000"/>
          <w:sz w:val="24"/>
          <w:szCs w:val="24"/>
        </w:rPr>
        <w:t xml:space="preserve">opacité des fumées; </w:t>
      </w:r>
    </w:p>
    <w:p w:rsidR="0050652C" w:rsidRPr="00B4668A" w:rsidRDefault="002A221F" w:rsidP="00B4668A">
      <w:pPr>
        <w:pStyle w:val="Paragraphedeliste"/>
        <w:numPr>
          <w:ilvl w:val="1"/>
          <w:numId w:val="2"/>
        </w:numPr>
        <w:autoSpaceDE w:val="0"/>
        <w:autoSpaceDN w:val="0"/>
        <w:adjustRightInd w:val="0"/>
        <w:spacing w:before="120" w:after="0" w:line="360" w:lineRule="auto"/>
        <w:ind w:left="993"/>
        <w:jc w:val="both"/>
        <w:rPr>
          <w:rFonts w:ascii="Century Gothic" w:hAnsi="Century Gothic" w:cs="GEJIJJ+TimesNewRoman"/>
          <w:color w:val="000000"/>
          <w:sz w:val="24"/>
          <w:szCs w:val="24"/>
        </w:rPr>
      </w:pPr>
      <w:r w:rsidRPr="00B4668A">
        <w:rPr>
          <w:rFonts w:ascii="Century Gothic" w:hAnsi="Century Gothic" w:cs="GEJIJJ+TimesNewRoman"/>
          <w:color w:val="000000"/>
          <w:sz w:val="24"/>
          <w:szCs w:val="24"/>
        </w:rPr>
        <w:t xml:space="preserve">émissions de particules, de dioxyde de soufre, de fluorure d’hydrogène, de sulfure d’hydrogène, de chlore, d’ammoniac, d’oxydes d’azote, selon les cas; </w:t>
      </w:r>
    </w:p>
    <w:p w:rsidR="0050652C" w:rsidRPr="00B4668A" w:rsidRDefault="002A221F" w:rsidP="00B4668A">
      <w:pPr>
        <w:pStyle w:val="Paragraphedeliste"/>
        <w:numPr>
          <w:ilvl w:val="1"/>
          <w:numId w:val="2"/>
        </w:numPr>
        <w:autoSpaceDE w:val="0"/>
        <w:autoSpaceDN w:val="0"/>
        <w:adjustRightInd w:val="0"/>
        <w:spacing w:before="120" w:after="0" w:line="360" w:lineRule="auto"/>
        <w:ind w:left="993"/>
        <w:jc w:val="both"/>
        <w:rPr>
          <w:rFonts w:ascii="Century Gothic" w:hAnsi="Century Gothic" w:cs="GEJIJJ+TimesNewRoman"/>
          <w:color w:val="000000"/>
          <w:sz w:val="24"/>
          <w:szCs w:val="24"/>
        </w:rPr>
      </w:pPr>
      <w:r w:rsidRPr="00B4668A">
        <w:rPr>
          <w:rFonts w:ascii="Century Gothic" w:hAnsi="Century Gothic" w:cs="GEJIJJ+TimesNewRoman"/>
          <w:color w:val="000000"/>
          <w:sz w:val="24"/>
          <w:szCs w:val="24"/>
        </w:rPr>
        <w:t xml:space="preserve">paramètres des procédés relatifs au fonctionnement des équipements de réduction de la pollution comme la température des gaz de cheminée; </w:t>
      </w:r>
    </w:p>
    <w:p w:rsidR="0050652C" w:rsidRPr="00B4668A" w:rsidRDefault="002A221F" w:rsidP="00B4668A">
      <w:pPr>
        <w:pStyle w:val="Paragraphedeliste"/>
        <w:numPr>
          <w:ilvl w:val="1"/>
          <w:numId w:val="2"/>
        </w:numPr>
        <w:autoSpaceDE w:val="0"/>
        <w:autoSpaceDN w:val="0"/>
        <w:adjustRightInd w:val="0"/>
        <w:spacing w:before="120" w:after="0" w:line="360" w:lineRule="auto"/>
        <w:ind w:left="993"/>
        <w:jc w:val="both"/>
        <w:rPr>
          <w:rFonts w:ascii="Century Gothic" w:hAnsi="Century Gothic" w:cs="GEJIJJ+TimesNewRoman"/>
          <w:color w:val="000000"/>
          <w:sz w:val="24"/>
          <w:szCs w:val="24"/>
        </w:rPr>
      </w:pPr>
      <w:r w:rsidRPr="00B4668A">
        <w:rPr>
          <w:rFonts w:ascii="Century Gothic" w:hAnsi="Century Gothic" w:cs="GEJIJJ+TimesNewRoman"/>
          <w:color w:val="000000"/>
          <w:sz w:val="24"/>
          <w:szCs w:val="24"/>
        </w:rPr>
        <w:t xml:space="preserve">qualité atmosphérique aux alentours de l’usine en surveillant les polluants déterminants; </w:t>
      </w:r>
    </w:p>
    <w:p w:rsidR="0050652C" w:rsidRPr="00B4668A" w:rsidRDefault="002A221F" w:rsidP="00B4668A">
      <w:pPr>
        <w:pStyle w:val="Paragraphedeliste"/>
        <w:numPr>
          <w:ilvl w:val="1"/>
          <w:numId w:val="2"/>
        </w:numPr>
        <w:autoSpaceDE w:val="0"/>
        <w:autoSpaceDN w:val="0"/>
        <w:adjustRightInd w:val="0"/>
        <w:spacing w:before="120" w:after="0" w:line="360" w:lineRule="auto"/>
        <w:ind w:left="993"/>
        <w:jc w:val="both"/>
        <w:rPr>
          <w:rFonts w:ascii="Century Gothic" w:hAnsi="Century Gothic" w:cs="GEJIJJ+TimesNewRoman"/>
          <w:color w:val="000000"/>
          <w:sz w:val="24"/>
          <w:szCs w:val="24"/>
        </w:rPr>
      </w:pPr>
      <w:r w:rsidRPr="00B4668A">
        <w:rPr>
          <w:rFonts w:ascii="Century Gothic" w:hAnsi="Century Gothic" w:cs="GEJIJJ+TimesNewRoman"/>
          <w:color w:val="000000"/>
          <w:sz w:val="24"/>
          <w:szCs w:val="24"/>
        </w:rPr>
        <w:t xml:space="preserve">qualité de l’exutoire en aval en contrôlant l’oxygène dissous, le pH, les matières en suspension, le cyanure, le chlore libre et les métaux toxiques pertinents; </w:t>
      </w:r>
    </w:p>
    <w:p w:rsidR="0050652C" w:rsidRPr="00B4668A" w:rsidRDefault="002A221F" w:rsidP="00B4668A">
      <w:pPr>
        <w:pStyle w:val="Paragraphedeliste"/>
        <w:numPr>
          <w:ilvl w:val="1"/>
          <w:numId w:val="2"/>
        </w:numPr>
        <w:autoSpaceDE w:val="0"/>
        <w:autoSpaceDN w:val="0"/>
        <w:adjustRightInd w:val="0"/>
        <w:spacing w:before="120" w:after="0" w:line="360" w:lineRule="auto"/>
        <w:ind w:left="993"/>
        <w:jc w:val="both"/>
        <w:rPr>
          <w:rFonts w:ascii="Century Gothic" w:hAnsi="Century Gothic" w:cs="GEJIJJ+TimesNewRoman"/>
          <w:color w:val="000000"/>
          <w:sz w:val="24"/>
          <w:szCs w:val="24"/>
        </w:rPr>
      </w:pPr>
      <w:r w:rsidRPr="00B4668A">
        <w:rPr>
          <w:rFonts w:ascii="Century Gothic" w:hAnsi="Century Gothic" w:cs="GEJIJJ+TimesNewRoman"/>
          <w:color w:val="000000"/>
          <w:sz w:val="24"/>
          <w:szCs w:val="24"/>
        </w:rPr>
        <w:t xml:space="preserve">flux des déchets liquides émis par l’usine en surveillant les niveaux de pH (continuellement), les matières en suspension, la teneur totale en sels dissous et </w:t>
      </w:r>
      <w:r w:rsidRPr="00B4668A">
        <w:rPr>
          <w:rFonts w:ascii="Century Gothic" w:hAnsi="Century Gothic" w:cs="GEJIJJ+TimesNewRoman"/>
          <w:color w:val="000000"/>
          <w:sz w:val="24"/>
          <w:szCs w:val="24"/>
        </w:rPr>
        <w:lastRenderedPageBreak/>
        <w:t>selon les cas, le cyanure, le sulfure d’hydrogène, l’acide sulfurique, la soude caustique, les ions métalliques toxiques, la radioactivité, le pH, les DBO</w:t>
      </w:r>
      <w:r w:rsidRPr="00B4668A">
        <w:rPr>
          <w:rFonts w:ascii="Century Gothic" w:hAnsi="Century Gothic" w:cs="GEJIJJ+TimesNewRoman"/>
          <w:color w:val="000000"/>
          <w:position w:val="-4"/>
          <w:sz w:val="24"/>
          <w:szCs w:val="24"/>
          <w:vertAlign w:val="subscript"/>
        </w:rPr>
        <w:t>5</w:t>
      </w:r>
      <w:r w:rsidRPr="00B4668A">
        <w:rPr>
          <w:rFonts w:ascii="Century Gothic" w:hAnsi="Century Gothic" w:cs="GEJIJJ+TimesNewRoman"/>
          <w:color w:val="000000"/>
          <w:sz w:val="24"/>
          <w:szCs w:val="24"/>
        </w:rPr>
        <w:t xml:space="preserve">, les huiles et les graisses; </w:t>
      </w:r>
    </w:p>
    <w:p w:rsidR="0050652C" w:rsidRPr="00B4668A" w:rsidRDefault="002A221F" w:rsidP="00B4668A">
      <w:pPr>
        <w:pStyle w:val="Paragraphedeliste"/>
        <w:numPr>
          <w:ilvl w:val="1"/>
          <w:numId w:val="2"/>
        </w:numPr>
        <w:autoSpaceDE w:val="0"/>
        <w:autoSpaceDN w:val="0"/>
        <w:adjustRightInd w:val="0"/>
        <w:spacing w:before="120" w:after="0" w:line="360" w:lineRule="auto"/>
        <w:ind w:left="993"/>
        <w:jc w:val="both"/>
        <w:rPr>
          <w:rFonts w:ascii="Century Gothic" w:hAnsi="Century Gothic" w:cs="GEJIJJ+TimesNewRoman"/>
          <w:color w:val="000000"/>
          <w:sz w:val="24"/>
          <w:szCs w:val="24"/>
        </w:rPr>
      </w:pPr>
      <w:r w:rsidRPr="00B4668A">
        <w:rPr>
          <w:rFonts w:ascii="Century Gothic" w:hAnsi="Century Gothic" w:cs="GEJIJJ+TimesNewRoman"/>
          <w:color w:val="000000"/>
          <w:sz w:val="24"/>
          <w:szCs w:val="24"/>
        </w:rPr>
        <w:t xml:space="preserve">quantités des eaux de pluie provenant des installations et des aires d’entreposage pouvant être rejetées contenant les polluants mentionnés ci-dessus; </w:t>
      </w:r>
    </w:p>
    <w:p w:rsidR="0050652C" w:rsidRPr="00B4668A" w:rsidRDefault="002A221F" w:rsidP="00B4668A">
      <w:pPr>
        <w:pStyle w:val="Paragraphedeliste"/>
        <w:numPr>
          <w:ilvl w:val="1"/>
          <w:numId w:val="2"/>
        </w:numPr>
        <w:autoSpaceDE w:val="0"/>
        <w:autoSpaceDN w:val="0"/>
        <w:adjustRightInd w:val="0"/>
        <w:spacing w:before="120" w:after="0" w:line="360" w:lineRule="auto"/>
        <w:ind w:left="993"/>
        <w:jc w:val="both"/>
        <w:rPr>
          <w:rFonts w:ascii="Century Gothic" w:hAnsi="Century Gothic" w:cs="GEJIJJ+TimesNewRoman"/>
          <w:color w:val="000000"/>
          <w:sz w:val="24"/>
          <w:szCs w:val="24"/>
        </w:rPr>
      </w:pPr>
      <w:r w:rsidRPr="00B4668A">
        <w:rPr>
          <w:rFonts w:ascii="Century Gothic" w:hAnsi="Century Gothic" w:cs="GEJIJJ+TimesNewRoman"/>
          <w:color w:val="000000"/>
          <w:sz w:val="24"/>
          <w:szCs w:val="24"/>
        </w:rPr>
        <w:t xml:space="preserve">niveaux sonores sur les lieux de travail de l’ensemble des installations; </w:t>
      </w:r>
    </w:p>
    <w:p w:rsidR="0050652C" w:rsidRPr="00B4668A" w:rsidRDefault="002A221F" w:rsidP="00B4668A">
      <w:pPr>
        <w:pStyle w:val="Paragraphedeliste"/>
        <w:numPr>
          <w:ilvl w:val="1"/>
          <w:numId w:val="2"/>
        </w:numPr>
        <w:autoSpaceDE w:val="0"/>
        <w:autoSpaceDN w:val="0"/>
        <w:adjustRightInd w:val="0"/>
        <w:spacing w:before="120" w:after="0" w:line="360" w:lineRule="auto"/>
        <w:ind w:left="993"/>
        <w:jc w:val="both"/>
        <w:rPr>
          <w:rFonts w:ascii="Century Gothic" w:hAnsi="Century Gothic" w:cs="GEJIJJ+TimesNewRoman"/>
          <w:color w:val="000000"/>
          <w:sz w:val="24"/>
          <w:szCs w:val="24"/>
        </w:rPr>
      </w:pPr>
      <w:r w:rsidRPr="00B4668A">
        <w:rPr>
          <w:rFonts w:ascii="Century Gothic" w:hAnsi="Century Gothic" w:cs="GEJIJJ+TimesNewRoman"/>
          <w:color w:val="000000"/>
          <w:sz w:val="24"/>
          <w:szCs w:val="24"/>
        </w:rPr>
        <w:t xml:space="preserve">suivi des piles de matériaux stockés, des bassins de rétention des boues protégés par des digues; </w:t>
      </w:r>
    </w:p>
    <w:p w:rsidR="0050652C" w:rsidRPr="00B4668A" w:rsidRDefault="002A221F" w:rsidP="00B4668A">
      <w:pPr>
        <w:pStyle w:val="Paragraphedeliste"/>
        <w:numPr>
          <w:ilvl w:val="1"/>
          <w:numId w:val="2"/>
        </w:numPr>
        <w:autoSpaceDE w:val="0"/>
        <w:autoSpaceDN w:val="0"/>
        <w:adjustRightInd w:val="0"/>
        <w:spacing w:before="120" w:after="0" w:line="360" w:lineRule="auto"/>
        <w:ind w:left="993"/>
        <w:jc w:val="both"/>
        <w:rPr>
          <w:rFonts w:ascii="Century Gothic" w:hAnsi="Century Gothic" w:cs="GEJIJJ+TimesNewRoman"/>
          <w:color w:val="000000"/>
          <w:sz w:val="24"/>
          <w:szCs w:val="24"/>
        </w:rPr>
      </w:pPr>
      <w:r w:rsidRPr="00B4668A">
        <w:rPr>
          <w:rFonts w:ascii="Century Gothic" w:hAnsi="Century Gothic" w:cs="GEJIJJ+TimesNewRoman"/>
          <w:color w:val="000000"/>
          <w:sz w:val="24"/>
          <w:szCs w:val="24"/>
        </w:rPr>
        <w:t xml:space="preserve">surveillance du respect des mesures de sécurité et des procédures de lutte antipollution, de leur actualisation et de la modernisation des plans de sécurité et d’urgence. </w:t>
      </w:r>
    </w:p>
    <w:p w:rsidR="0050652C" w:rsidRPr="00B4668A" w:rsidRDefault="002A221F" w:rsidP="00B4668A">
      <w:pPr>
        <w:spacing w:line="360" w:lineRule="auto"/>
        <w:jc w:val="both"/>
        <w:rPr>
          <w:rFonts w:ascii="Century Gothic" w:hAnsi="Century Gothic"/>
          <w:sz w:val="24"/>
          <w:szCs w:val="24"/>
        </w:rPr>
      </w:pPr>
      <w:r w:rsidRPr="00B4668A">
        <w:rPr>
          <w:rFonts w:ascii="Century Gothic" w:hAnsi="Century Gothic"/>
          <w:sz w:val="24"/>
          <w:szCs w:val="24"/>
        </w:rPr>
        <w:br w:type="page"/>
      </w:r>
    </w:p>
    <w:p w:rsidR="007103C9" w:rsidRPr="00B4668A" w:rsidRDefault="007103C9" w:rsidP="00B4668A">
      <w:pPr>
        <w:spacing w:line="360" w:lineRule="auto"/>
        <w:jc w:val="both"/>
        <w:rPr>
          <w:rFonts w:ascii="Century Gothic" w:hAnsi="Century Gothic"/>
          <w:sz w:val="24"/>
          <w:szCs w:val="24"/>
        </w:rPr>
        <w:sectPr w:rsidR="007103C9" w:rsidRPr="00B4668A" w:rsidSect="0044695B">
          <w:pgSz w:w="12240" w:h="16340"/>
          <w:pgMar w:top="1147" w:right="1027" w:bottom="1114" w:left="982" w:header="720" w:footer="720" w:gutter="0"/>
          <w:cols w:space="720"/>
          <w:noEndnote/>
        </w:sectPr>
      </w:pPr>
    </w:p>
    <w:p w:rsidR="0050652C" w:rsidRPr="00B4668A" w:rsidRDefault="002A221F" w:rsidP="00B4668A">
      <w:pPr>
        <w:spacing w:line="360" w:lineRule="auto"/>
        <w:jc w:val="both"/>
        <w:rPr>
          <w:rFonts w:ascii="Century Gothic" w:hAnsi="Century Gothic"/>
          <w:szCs w:val="24"/>
        </w:rPr>
      </w:pPr>
      <w:r w:rsidRPr="00B4668A">
        <w:rPr>
          <w:rFonts w:ascii="Century Gothic" w:hAnsi="Century Gothic" w:cs="JILELL+TimesNewRoman,Bold"/>
          <w:b/>
          <w:bCs/>
          <w:color w:val="000000"/>
          <w:szCs w:val="24"/>
        </w:rPr>
        <w:lastRenderedPageBreak/>
        <w:t>Tableau Industrie des métaux non ferreux</w:t>
      </w:r>
    </w:p>
    <w:tbl>
      <w:tblPr>
        <w:tblStyle w:val="Grilledutableau"/>
        <w:tblW w:w="0" w:type="auto"/>
        <w:tblLook w:val="04A0"/>
      </w:tblPr>
      <w:tblGrid>
        <w:gridCol w:w="7112"/>
        <w:gridCol w:w="7112"/>
      </w:tblGrid>
      <w:tr w:rsidR="00F62272" w:rsidRPr="00B4668A" w:rsidTr="00F62272">
        <w:tc>
          <w:tcPr>
            <w:tcW w:w="7112" w:type="dxa"/>
          </w:tcPr>
          <w:tbl>
            <w:tblPr>
              <w:tblW w:w="0" w:type="auto"/>
              <w:tblInd w:w="72" w:type="dxa"/>
              <w:tblBorders>
                <w:top w:val="nil"/>
                <w:left w:val="nil"/>
                <w:bottom w:val="nil"/>
                <w:right w:val="nil"/>
              </w:tblBorders>
              <w:tblLook w:val="0000"/>
            </w:tblPr>
            <w:tblGrid>
              <w:gridCol w:w="3076"/>
              <w:gridCol w:w="222"/>
            </w:tblGrid>
            <w:tr w:rsidR="00F62272" w:rsidRPr="00B4668A">
              <w:tc>
                <w:tcPr>
                  <w:tcW w:w="0" w:type="auto"/>
                </w:tcPr>
                <w:p w:rsidR="0050652C" w:rsidRPr="00B4668A" w:rsidRDefault="002A221F" w:rsidP="00B4668A">
                  <w:pPr>
                    <w:autoSpaceDE w:val="0"/>
                    <w:autoSpaceDN w:val="0"/>
                    <w:adjustRightInd w:val="0"/>
                    <w:spacing w:after="0" w:line="360" w:lineRule="auto"/>
                    <w:jc w:val="both"/>
                    <w:rPr>
                      <w:rFonts w:ascii="Century Gothic" w:hAnsi="Century Gothic" w:cs="JILELL+TimesNewRoman,Bold"/>
                      <w:color w:val="000000"/>
                      <w:szCs w:val="24"/>
                    </w:rPr>
                  </w:pPr>
                  <w:r w:rsidRPr="00B4668A">
                    <w:rPr>
                      <w:rFonts w:ascii="Century Gothic" w:hAnsi="Century Gothic" w:cs="JILELL+TimesNewRoman,Bold"/>
                      <w:b/>
                      <w:bCs/>
                      <w:color w:val="000000"/>
                      <w:szCs w:val="24"/>
                    </w:rPr>
                    <w:t xml:space="preserve">Impacts potentiels négatifs </w:t>
                  </w:r>
                </w:p>
              </w:tc>
              <w:tc>
                <w:tcPr>
                  <w:tcW w:w="0" w:type="auto"/>
                </w:tcPr>
                <w:p w:rsidR="0050652C" w:rsidRPr="00B4668A" w:rsidRDefault="0050652C" w:rsidP="00B4668A">
                  <w:pPr>
                    <w:autoSpaceDE w:val="0"/>
                    <w:autoSpaceDN w:val="0"/>
                    <w:adjustRightInd w:val="0"/>
                    <w:spacing w:after="0" w:line="360" w:lineRule="auto"/>
                    <w:jc w:val="both"/>
                    <w:rPr>
                      <w:rFonts w:ascii="Century Gothic" w:hAnsi="Century Gothic" w:cs="JILELL+TimesNewRoman,Bold"/>
                      <w:color w:val="000000"/>
                      <w:szCs w:val="24"/>
                    </w:rPr>
                  </w:pPr>
                </w:p>
              </w:tc>
            </w:tr>
          </w:tbl>
          <w:p w:rsidR="0050652C" w:rsidRPr="00B4668A" w:rsidRDefault="0050652C" w:rsidP="00B4668A">
            <w:pPr>
              <w:spacing w:line="360" w:lineRule="auto"/>
              <w:jc w:val="both"/>
              <w:rPr>
                <w:rFonts w:ascii="Century Gothic" w:hAnsi="Century Gothic"/>
                <w:szCs w:val="24"/>
              </w:rPr>
            </w:pPr>
          </w:p>
        </w:tc>
        <w:tc>
          <w:tcPr>
            <w:tcW w:w="7112" w:type="dxa"/>
          </w:tcPr>
          <w:p w:rsidR="0050652C" w:rsidRPr="00B4668A" w:rsidRDefault="002A221F" w:rsidP="00B4668A">
            <w:pPr>
              <w:spacing w:line="360" w:lineRule="auto"/>
              <w:jc w:val="both"/>
              <w:rPr>
                <w:rFonts w:ascii="Century Gothic" w:hAnsi="Century Gothic"/>
                <w:szCs w:val="24"/>
              </w:rPr>
            </w:pPr>
            <w:r w:rsidRPr="00B4668A">
              <w:rPr>
                <w:rFonts w:ascii="Century Gothic" w:hAnsi="Century Gothic" w:cs="JILELL+TimesNewRoman,Bold"/>
                <w:b/>
                <w:bCs/>
                <w:color w:val="000000"/>
                <w:szCs w:val="24"/>
              </w:rPr>
              <w:t>Mesures d’atténuation</w:t>
            </w:r>
          </w:p>
        </w:tc>
      </w:tr>
      <w:tr w:rsidR="00F62272" w:rsidRPr="00B4668A" w:rsidTr="00F62272">
        <w:tc>
          <w:tcPr>
            <w:tcW w:w="7112" w:type="dxa"/>
          </w:tcPr>
          <w:tbl>
            <w:tblPr>
              <w:tblW w:w="0" w:type="auto"/>
              <w:tblInd w:w="72" w:type="dxa"/>
              <w:tblBorders>
                <w:top w:val="nil"/>
                <w:left w:val="nil"/>
                <w:bottom w:val="nil"/>
                <w:right w:val="nil"/>
              </w:tblBorders>
              <w:tblLook w:val="0000"/>
            </w:tblPr>
            <w:tblGrid>
              <w:gridCol w:w="2353"/>
              <w:gridCol w:w="4027"/>
              <w:gridCol w:w="222"/>
              <w:gridCol w:w="222"/>
            </w:tblGrid>
            <w:tr w:rsidR="00F62272" w:rsidRPr="00B4668A">
              <w:trPr>
                <w:gridAfter w:val="3"/>
              </w:trPr>
              <w:tc>
                <w:tcPr>
                  <w:tcW w:w="0" w:type="auto"/>
                </w:tcPr>
                <w:p w:rsidR="002A221F" w:rsidRPr="00B4668A" w:rsidRDefault="002A221F" w:rsidP="00B4668A">
                  <w:pPr>
                    <w:autoSpaceDE w:val="0"/>
                    <w:autoSpaceDN w:val="0"/>
                    <w:adjustRightInd w:val="0"/>
                    <w:spacing w:after="0" w:line="360" w:lineRule="auto"/>
                    <w:jc w:val="both"/>
                    <w:rPr>
                      <w:rFonts w:ascii="Century Gothic" w:hAnsi="Century Gothic" w:cs="JILELL+TimesNewRoman,Bold"/>
                      <w:color w:val="000000"/>
                      <w:szCs w:val="24"/>
                    </w:rPr>
                  </w:pPr>
                  <w:r w:rsidRPr="00B4668A">
                    <w:rPr>
                      <w:rFonts w:ascii="Century Gothic" w:hAnsi="Century Gothic" w:cs="JILELL+TimesNewRoman,Bold"/>
                      <w:b/>
                      <w:bCs/>
                      <w:color w:val="000000"/>
                      <w:szCs w:val="24"/>
                    </w:rPr>
                    <w:t xml:space="preserve">Impacts directs : choix de l’emplacement </w:t>
                  </w:r>
                </w:p>
              </w:tc>
            </w:tr>
            <w:tr w:rsidR="00F62272" w:rsidRPr="00B4668A">
              <w:tc>
                <w:tcPr>
                  <w:tcW w:w="0" w:type="auto"/>
                </w:tcPr>
                <w:p w:rsidR="002A221F"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s="GEJIJJ+TimesNewRoman"/>
                      <w:color w:val="000000"/>
                      <w:szCs w:val="24"/>
                    </w:rPr>
                    <w:t xml:space="preserve">1. </w:t>
                  </w:r>
                </w:p>
              </w:tc>
              <w:tc>
                <w:tcPr>
                  <w:tcW w:w="0" w:type="auto"/>
                </w:tcPr>
                <w:p w:rsidR="002A221F"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p>
                <w:p w:rsidR="002A221F"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s="GEJIJJ+TimesNewRoman"/>
                      <w:color w:val="000000"/>
                      <w:szCs w:val="24"/>
                    </w:rPr>
                    <w:t xml:space="preserve">Implantation d’une usine sur ou à proximité d’habitats sensibles, tels que les mangroves, les estuaires, les milieux humides et les récifs de corail. </w:t>
                  </w:r>
                </w:p>
              </w:tc>
              <w:tc>
                <w:tcPr>
                  <w:tcW w:w="0" w:type="auto"/>
                </w:tcPr>
                <w:p w:rsidR="0050652C" w:rsidRPr="00B4668A" w:rsidRDefault="0050652C" w:rsidP="00B4668A">
                  <w:pPr>
                    <w:autoSpaceDE w:val="0"/>
                    <w:autoSpaceDN w:val="0"/>
                    <w:adjustRightInd w:val="0"/>
                    <w:spacing w:after="0" w:line="360" w:lineRule="auto"/>
                    <w:jc w:val="both"/>
                    <w:rPr>
                      <w:rFonts w:ascii="Century Gothic" w:hAnsi="Century Gothic" w:cs="GEJIJJ+TimesNewRoman"/>
                      <w:color w:val="000000"/>
                      <w:szCs w:val="24"/>
                    </w:rPr>
                  </w:pPr>
                </w:p>
              </w:tc>
              <w:tc>
                <w:tcPr>
                  <w:tcW w:w="0" w:type="auto"/>
                </w:tcPr>
                <w:p w:rsidR="0050652C" w:rsidRPr="00B4668A" w:rsidRDefault="0050652C" w:rsidP="00B4668A">
                  <w:pPr>
                    <w:autoSpaceDE w:val="0"/>
                    <w:autoSpaceDN w:val="0"/>
                    <w:adjustRightInd w:val="0"/>
                    <w:spacing w:after="0" w:line="360" w:lineRule="auto"/>
                    <w:jc w:val="both"/>
                    <w:rPr>
                      <w:rFonts w:ascii="Century Gothic" w:hAnsi="Century Gothic" w:cs="GEJIJJ+TimesNewRoman"/>
                      <w:color w:val="000000"/>
                      <w:szCs w:val="24"/>
                    </w:rPr>
                  </w:pPr>
                </w:p>
              </w:tc>
            </w:tr>
          </w:tbl>
          <w:p w:rsidR="0050652C" w:rsidRPr="00B4668A" w:rsidRDefault="0050652C" w:rsidP="00B4668A">
            <w:pPr>
              <w:spacing w:line="360" w:lineRule="auto"/>
              <w:jc w:val="both"/>
              <w:rPr>
                <w:rFonts w:ascii="Century Gothic" w:hAnsi="Century Gothic"/>
                <w:szCs w:val="24"/>
              </w:rPr>
            </w:pPr>
          </w:p>
        </w:tc>
        <w:tc>
          <w:tcPr>
            <w:tcW w:w="7112" w:type="dxa"/>
          </w:tcPr>
          <w:tbl>
            <w:tblPr>
              <w:tblW w:w="0" w:type="auto"/>
              <w:tblInd w:w="72" w:type="dxa"/>
              <w:tblBorders>
                <w:top w:val="nil"/>
                <w:left w:val="nil"/>
                <w:bottom w:val="nil"/>
                <w:right w:val="nil"/>
              </w:tblBorders>
              <w:tblLook w:val="0000"/>
            </w:tblPr>
            <w:tblGrid>
              <w:gridCol w:w="399"/>
              <w:gridCol w:w="6425"/>
            </w:tblGrid>
            <w:tr w:rsidR="00F62272" w:rsidRPr="00B4668A" w:rsidTr="0044695B">
              <w:tc>
                <w:tcPr>
                  <w:tcW w:w="0" w:type="auto"/>
                </w:tcPr>
                <w:p w:rsidR="002A221F"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s="GEJIJJ+TimesNewRoman"/>
                      <w:color w:val="000000"/>
                      <w:szCs w:val="24"/>
                    </w:rPr>
                    <w:t xml:space="preserve">1. </w:t>
                  </w:r>
                </w:p>
              </w:tc>
              <w:tc>
                <w:tcPr>
                  <w:tcW w:w="0" w:type="auto"/>
                </w:tcPr>
                <w:p w:rsidR="0050652C" w:rsidRPr="00B4668A" w:rsidRDefault="0050652C" w:rsidP="00B4668A">
                  <w:pPr>
                    <w:autoSpaceDE w:val="0"/>
                    <w:autoSpaceDN w:val="0"/>
                    <w:adjustRightInd w:val="0"/>
                    <w:spacing w:after="0" w:line="360" w:lineRule="auto"/>
                    <w:jc w:val="both"/>
                    <w:rPr>
                      <w:rFonts w:ascii="Century Gothic" w:hAnsi="Century Gothic"/>
                      <w:szCs w:val="24"/>
                    </w:rPr>
                  </w:pPr>
                </w:p>
                <w:p w:rsidR="0050652C"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olor w:val="000000"/>
                      <w:szCs w:val="24"/>
                    </w:rPr>
                    <w:t xml:space="preserve">• </w:t>
                  </w:r>
                  <w:r w:rsidRPr="00B4668A">
                    <w:rPr>
                      <w:rFonts w:ascii="Century Gothic" w:hAnsi="Century Gothic" w:cs="GEJIJJ+TimesNewRoman"/>
                      <w:color w:val="000000"/>
                      <w:szCs w:val="24"/>
                    </w:rPr>
                    <w:t xml:space="preserve">Installer, si possible, l’usine dans une zone industrielle de manière à réduire et à concentrer la pression exercée sur les services de l’environnement de la région et à faciliter le suivi des rejets. </w:t>
                  </w:r>
                </w:p>
                <w:p w:rsidR="0050652C"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s="GEJIJJ+TimesNewRoman"/>
                      <w:color w:val="000000"/>
                      <w:szCs w:val="24"/>
                    </w:rPr>
                    <w:t xml:space="preserve">• Faire participer les agences de gestion des ressources naturelles dans le choix de l’emplacement pour effectuer l’examen des solutions de remplacement. </w:t>
                  </w:r>
                </w:p>
                <w:p w:rsidR="0050652C" w:rsidRPr="00B4668A" w:rsidRDefault="0050652C" w:rsidP="00B4668A">
                  <w:pPr>
                    <w:autoSpaceDE w:val="0"/>
                    <w:autoSpaceDN w:val="0"/>
                    <w:adjustRightInd w:val="0"/>
                    <w:spacing w:after="0" w:line="360" w:lineRule="auto"/>
                    <w:jc w:val="both"/>
                    <w:rPr>
                      <w:rFonts w:ascii="Century Gothic" w:hAnsi="Century Gothic" w:cs="GEJIJJ+TimesNewRoman"/>
                      <w:color w:val="000000"/>
                      <w:szCs w:val="24"/>
                    </w:rPr>
                  </w:pPr>
                </w:p>
              </w:tc>
            </w:tr>
          </w:tbl>
          <w:p w:rsidR="0050652C" w:rsidRPr="00B4668A" w:rsidRDefault="0050652C" w:rsidP="00B4668A">
            <w:pPr>
              <w:spacing w:line="360" w:lineRule="auto"/>
              <w:jc w:val="both"/>
              <w:rPr>
                <w:rFonts w:ascii="Century Gothic" w:hAnsi="Century Gothic"/>
                <w:szCs w:val="24"/>
              </w:rPr>
            </w:pPr>
          </w:p>
        </w:tc>
      </w:tr>
      <w:tr w:rsidR="00F62272" w:rsidRPr="00B4668A" w:rsidTr="00F62272">
        <w:tc>
          <w:tcPr>
            <w:tcW w:w="7112" w:type="dxa"/>
          </w:tcPr>
          <w:tbl>
            <w:tblPr>
              <w:tblW w:w="0" w:type="auto"/>
              <w:tblInd w:w="72" w:type="dxa"/>
              <w:tblBorders>
                <w:top w:val="nil"/>
                <w:left w:val="nil"/>
                <w:bottom w:val="nil"/>
                <w:right w:val="nil"/>
              </w:tblBorders>
              <w:tblLook w:val="0000"/>
            </w:tblPr>
            <w:tblGrid>
              <w:gridCol w:w="399"/>
              <w:gridCol w:w="6425"/>
            </w:tblGrid>
            <w:tr w:rsidR="00F62272" w:rsidRPr="00B4668A">
              <w:tc>
                <w:tcPr>
                  <w:tcW w:w="0" w:type="auto"/>
                </w:tcPr>
                <w:p w:rsidR="002A221F"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s="GEJIJJ+TimesNewRoman"/>
                      <w:color w:val="000000"/>
                      <w:szCs w:val="24"/>
                    </w:rPr>
                    <w:t xml:space="preserve">2. </w:t>
                  </w:r>
                </w:p>
              </w:tc>
              <w:tc>
                <w:tcPr>
                  <w:tcW w:w="0" w:type="auto"/>
                </w:tcPr>
                <w:p w:rsidR="002A221F"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p>
                <w:p w:rsidR="002A221F"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s="GEJIJJ+TimesNewRoman"/>
                      <w:color w:val="000000"/>
                      <w:szCs w:val="24"/>
                    </w:rPr>
                    <w:t xml:space="preserve">Emplacement d’une usine le long d’un cours d’eau causant sa dégradation. </w:t>
                  </w:r>
                </w:p>
              </w:tc>
            </w:tr>
          </w:tbl>
          <w:p w:rsidR="0050652C" w:rsidRPr="00B4668A" w:rsidRDefault="0050652C" w:rsidP="00B4668A">
            <w:pPr>
              <w:spacing w:line="360" w:lineRule="auto"/>
              <w:jc w:val="both"/>
              <w:rPr>
                <w:rFonts w:ascii="Century Gothic" w:hAnsi="Century Gothic"/>
                <w:szCs w:val="24"/>
              </w:rPr>
            </w:pPr>
          </w:p>
        </w:tc>
        <w:tc>
          <w:tcPr>
            <w:tcW w:w="7112" w:type="dxa"/>
          </w:tcPr>
          <w:tbl>
            <w:tblPr>
              <w:tblW w:w="0" w:type="auto"/>
              <w:tblInd w:w="72" w:type="dxa"/>
              <w:tblBorders>
                <w:top w:val="nil"/>
                <w:left w:val="nil"/>
                <w:bottom w:val="nil"/>
                <w:right w:val="nil"/>
              </w:tblBorders>
              <w:tblLook w:val="0000"/>
            </w:tblPr>
            <w:tblGrid>
              <w:gridCol w:w="399"/>
              <w:gridCol w:w="6425"/>
            </w:tblGrid>
            <w:tr w:rsidR="00F62272" w:rsidRPr="00B4668A" w:rsidTr="0044695B">
              <w:tc>
                <w:tcPr>
                  <w:tcW w:w="0" w:type="auto"/>
                </w:tcPr>
                <w:p w:rsidR="002A221F"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s="GEJIJJ+TimesNewRoman"/>
                      <w:color w:val="000000"/>
                      <w:szCs w:val="24"/>
                    </w:rPr>
                    <w:t xml:space="preserve">2. </w:t>
                  </w:r>
                </w:p>
              </w:tc>
              <w:tc>
                <w:tcPr>
                  <w:tcW w:w="0" w:type="auto"/>
                </w:tcPr>
                <w:p w:rsidR="0050652C" w:rsidRPr="00B4668A" w:rsidRDefault="0050652C" w:rsidP="00B4668A">
                  <w:pPr>
                    <w:autoSpaceDE w:val="0"/>
                    <w:autoSpaceDN w:val="0"/>
                    <w:adjustRightInd w:val="0"/>
                    <w:spacing w:after="0" w:line="360" w:lineRule="auto"/>
                    <w:jc w:val="both"/>
                    <w:rPr>
                      <w:rFonts w:ascii="Century Gothic" w:hAnsi="Century Gothic"/>
                      <w:szCs w:val="24"/>
                    </w:rPr>
                  </w:pPr>
                </w:p>
                <w:p w:rsidR="0050652C"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olor w:val="000000"/>
                      <w:szCs w:val="24"/>
                    </w:rPr>
                    <w:t xml:space="preserve">• </w:t>
                  </w:r>
                  <w:r w:rsidRPr="00B4668A">
                    <w:rPr>
                      <w:rFonts w:ascii="Century Gothic" w:hAnsi="Century Gothic" w:cs="GEJIJJ+TimesNewRoman"/>
                      <w:color w:val="000000"/>
                      <w:szCs w:val="24"/>
                    </w:rPr>
                    <w:t xml:space="preserve">Le choix de l’emplacement devrait examiner les solutions qui aient sur l’environnement aussi peu d’effets que possible et qui ne compromettent pas les bénéfices que représente l’exploitation des plans d’eau. </w:t>
                  </w:r>
                </w:p>
                <w:p w:rsidR="0050652C"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s="GEJIJJ+TimesNewRoman"/>
                      <w:color w:val="000000"/>
                      <w:szCs w:val="24"/>
                    </w:rPr>
                    <w:t xml:space="preserve">• Les usines qui émettent des rejets liquides ne devraient être situées que près d’un cours d’eau dont la capacité d’assimilation des effluents traités est suffisante. </w:t>
                  </w:r>
                </w:p>
                <w:p w:rsidR="0050652C" w:rsidRPr="00B4668A" w:rsidRDefault="0050652C" w:rsidP="00B4668A">
                  <w:pPr>
                    <w:autoSpaceDE w:val="0"/>
                    <w:autoSpaceDN w:val="0"/>
                    <w:adjustRightInd w:val="0"/>
                    <w:spacing w:after="0" w:line="360" w:lineRule="auto"/>
                    <w:jc w:val="both"/>
                    <w:rPr>
                      <w:rFonts w:ascii="Century Gothic" w:hAnsi="Century Gothic" w:cs="GEJIJJ+TimesNewRoman"/>
                      <w:color w:val="000000"/>
                      <w:szCs w:val="24"/>
                    </w:rPr>
                  </w:pPr>
                </w:p>
              </w:tc>
            </w:tr>
          </w:tbl>
          <w:p w:rsidR="0050652C" w:rsidRPr="00B4668A" w:rsidRDefault="0050652C" w:rsidP="00B4668A">
            <w:pPr>
              <w:spacing w:line="360" w:lineRule="auto"/>
              <w:jc w:val="both"/>
              <w:rPr>
                <w:rFonts w:ascii="Century Gothic" w:hAnsi="Century Gothic"/>
                <w:szCs w:val="24"/>
              </w:rPr>
            </w:pPr>
          </w:p>
        </w:tc>
      </w:tr>
      <w:tr w:rsidR="00F62272" w:rsidRPr="00B4668A" w:rsidTr="00F62272">
        <w:tc>
          <w:tcPr>
            <w:tcW w:w="7112" w:type="dxa"/>
          </w:tcPr>
          <w:tbl>
            <w:tblPr>
              <w:tblW w:w="0" w:type="auto"/>
              <w:tblInd w:w="72" w:type="dxa"/>
              <w:tblBorders>
                <w:top w:val="nil"/>
                <w:left w:val="nil"/>
                <w:bottom w:val="nil"/>
                <w:right w:val="nil"/>
              </w:tblBorders>
              <w:tblLook w:val="0000"/>
            </w:tblPr>
            <w:tblGrid>
              <w:gridCol w:w="399"/>
              <w:gridCol w:w="6425"/>
            </w:tblGrid>
            <w:tr w:rsidR="00F62272" w:rsidRPr="00B4668A">
              <w:tc>
                <w:tcPr>
                  <w:tcW w:w="0" w:type="auto"/>
                </w:tcPr>
                <w:p w:rsidR="002A221F"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s="GEJIJJ+TimesNewRoman"/>
                      <w:color w:val="000000"/>
                      <w:szCs w:val="24"/>
                    </w:rPr>
                    <w:t xml:space="preserve">3. </w:t>
                  </w:r>
                </w:p>
              </w:tc>
              <w:tc>
                <w:tcPr>
                  <w:tcW w:w="0" w:type="auto"/>
                </w:tcPr>
                <w:p w:rsidR="002A221F"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p>
                <w:p w:rsidR="002A221F"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s="GEJIJJ+TimesNewRoman"/>
                      <w:color w:val="000000"/>
                      <w:szCs w:val="24"/>
                    </w:rPr>
                    <w:t xml:space="preserve">Situation pouvant causer de sérieux problèmes de pollution atmosphérique dans la contrée. </w:t>
                  </w:r>
                </w:p>
              </w:tc>
            </w:tr>
          </w:tbl>
          <w:p w:rsidR="0050652C" w:rsidRPr="00B4668A" w:rsidRDefault="0050652C" w:rsidP="00B4668A">
            <w:pPr>
              <w:spacing w:line="360" w:lineRule="auto"/>
              <w:jc w:val="both"/>
              <w:rPr>
                <w:rFonts w:ascii="Century Gothic" w:hAnsi="Century Gothic"/>
                <w:szCs w:val="24"/>
              </w:rPr>
            </w:pPr>
          </w:p>
        </w:tc>
        <w:tc>
          <w:tcPr>
            <w:tcW w:w="7112" w:type="dxa"/>
          </w:tcPr>
          <w:tbl>
            <w:tblPr>
              <w:tblW w:w="0" w:type="auto"/>
              <w:tblInd w:w="72" w:type="dxa"/>
              <w:tblBorders>
                <w:top w:val="nil"/>
                <w:left w:val="nil"/>
                <w:bottom w:val="nil"/>
                <w:right w:val="nil"/>
              </w:tblBorders>
              <w:tblLook w:val="0000"/>
            </w:tblPr>
            <w:tblGrid>
              <w:gridCol w:w="399"/>
              <w:gridCol w:w="6425"/>
            </w:tblGrid>
            <w:tr w:rsidR="00F62272" w:rsidRPr="00B4668A" w:rsidTr="0044695B">
              <w:tc>
                <w:tcPr>
                  <w:tcW w:w="0" w:type="auto"/>
                </w:tcPr>
                <w:p w:rsidR="002A221F"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s="GEJIJJ+TimesNewRoman"/>
                      <w:color w:val="000000"/>
                      <w:szCs w:val="24"/>
                    </w:rPr>
                    <w:t xml:space="preserve">3. </w:t>
                  </w:r>
                </w:p>
              </w:tc>
              <w:tc>
                <w:tcPr>
                  <w:tcW w:w="0" w:type="auto"/>
                </w:tcPr>
                <w:p w:rsidR="0050652C"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s="GEJIJJ+TimesNewRoman"/>
                      <w:color w:val="000000"/>
                      <w:szCs w:val="24"/>
                    </w:rPr>
                    <w:t xml:space="preserve">Implanter l’usine à une hauteur qui soit supérieure à la topographie de la région, dans une zone qui ne subit pas d’inversions atmosphériques et où les vents dominants </w:t>
                  </w:r>
                  <w:r w:rsidRPr="00B4668A">
                    <w:rPr>
                      <w:rFonts w:ascii="Century Gothic" w:hAnsi="Century Gothic" w:cs="GEJIJJ+TimesNewRoman"/>
                      <w:color w:val="000000"/>
                      <w:szCs w:val="24"/>
                    </w:rPr>
                    <w:lastRenderedPageBreak/>
                    <w:t xml:space="preserve">soufflent vers des zones relativement peu peuplées. </w:t>
                  </w:r>
                </w:p>
              </w:tc>
            </w:tr>
          </w:tbl>
          <w:p w:rsidR="0050652C" w:rsidRPr="00B4668A" w:rsidRDefault="0050652C" w:rsidP="00B4668A">
            <w:pPr>
              <w:spacing w:line="360" w:lineRule="auto"/>
              <w:jc w:val="both"/>
              <w:rPr>
                <w:rFonts w:ascii="Century Gothic" w:hAnsi="Century Gothic"/>
                <w:szCs w:val="24"/>
              </w:rPr>
            </w:pPr>
          </w:p>
        </w:tc>
      </w:tr>
      <w:tr w:rsidR="00F62272" w:rsidRPr="00B4668A" w:rsidTr="00F62272">
        <w:tc>
          <w:tcPr>
            <w:tcW w:w="7112" w:type="dxa"/>
          </w:tcPr>
          <w:tbl>
            <w:tblPr>
              <w:tblW w:w="0" w:type="auto"/>
              <w:tblInd w:w="72" w:type="dxa"/>
              <w:tblBorders>
                <w:top w:val="nil"/>
                <w:left w:val="nil"/>
                <w:bottom w:val="nil"/>
                <w:right w:val="nil"/>
              </w:tblBorders>
              <w:tblLook w:val="0000"/>
            </w:tblPr>
            <w:tblGrid>
              <w:gridCol w:w="399"/>
              <w:gridCol w:w="6425"/>
            </w:tblGrid>
            <w:tr w:rsidR="00F62272" w:rsidRPr="00B4668A">
              <w:tc>
                <w:tcPr>
                  <w:tcW w:w="0" w:type="auto"/>
                </w:tcPr>
                <w:p w:rsidR="002A221F"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s="GEJIJJ+TimesNewRoman"/>
                      <w:color w:val="000000"/>
                      <w:szCs w:val="24"/>
                    </w:rPr>
                    <w:lastRenderedPageBreak/>
                    <w:t xml:space="preserve">4. </w:t>
                  </w:r>
                </w:p>
              </w:tc>
              <w:tc>
                <w:tcPr>
                  <w:tcW w:w="0" w:type="auto"/>
                </w:tcPr>
                <w:p w:rsidR="002A221F"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p>
                <w:p w:rsidR="0050652C"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s="GEJIJJ+TimesNewRoman"/>
                      <w:color w:val="000000"/>
                      <w:szCs w:val="24"/>
                    </w:rPr>
                    <w:t xml:space="preserve">Localisation pouvant intensifier les problèmes de déchets solides que rencontre la localité. </w:t>
                  </w:r>
                </w:p>
              </w:tc>
            </w:tr>
          </w:tbl>
          <w:p w:rsidR="0050652C" w:rsidRPr="00B4668A" w:rsidRDefault="0050652C" w:rsidP="00B4668A">
            <w:pPr>
              <w:spacing w:line="360" w:lineRule="auto"/>
              <w:jc w:val="both"/>
              <w:rPr>
                <w:rFonts w:ascii="Century Gothic" w:hAnsi="Century Gothic"/>
                <w:szCs w:val="24"/>
              </w:rPr>
            </w:pPr>
          </w:p>
        </w:tc>
        <w:tc>
          <w:tcPr>
            <w:tcW w:w="7112" w:type="dxa"/>
          </w:tcPr>
          <w:tbl>
            <w:tblPr>
              <w:tblW w:w="0" w:type="auto"/>
              <w:tblInd w:w="72" w:type="dxa"/>
              <w:tblBorders>
                <w:top w:val="nil"/>
                <w:left w:val="nil"/>
                <w:bottom w:val="nil"/>
                <w:right w:val="nil"/>
              </w:tblBorders>
              <w:tblLook w:val="0000"/>
            </w:tblPr>
            <w:tblGrid>
              <w:gridCol w:w="399"/>
              <w:gridCol w:w="6425"/>
            </w:tblGrid>
            <w:tr w:rsidR="00F62272" w:rsidRPr="00B4668A" w:rsidTr="0044695B">
              <w:tc>
                <w:tcPr>
                  <w:tcW w:w="0" w:type="auto"/>
                </w:tcPr>
                <w:p w:rsidR="002A221F"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s="GEJIJJ+TimesNewRoman"/>
                      <w:color w:val="000000"/>
                      <w:szCs w:val="24"/>
                    </w:rPr>
                    <w:t xml:space="preserve">4. </w:t>
                  </w:r>
                </w:p>
              </w:tc>
              <w:tc>
                <w:tcPr>
                  <w:tcW w:w="0" w:type="auto"/>
                </w:tcPr>
                <w:p w:rsidR="0050652C"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s="GEJIJJ+TimesNewRoman"/>
                      <w:color w:val="000000"/>
                      <w:szCs w:val="24"/>
                    </w:rPr>
                    <w:t xml:space="preserve">Il importerait d’évaluer l’emplacement à partir des lignes directrices suivantes : </w:t>
                  </w:r>
                </w:p>
                <w:p w:rsidR="0050652C"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s="GEJIJJ+TimesNewRoman"/>
                      <w:color w:val="000000"/>
                      <w:szCs w:val="24"/>
                    </w:rPr>
                    <w:t xml:space="preserve">• proximité d’une décharge convenable </w:t>
                  </w:r>
                </w:p>
                <w:p w:rsidR="0050652C"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s="GEJIJJ+TimesNewRoman"/>
                      <w:color w:val="000000"/>
                      <w:szCs w:val="24"/>
                    </w:rPr>
                    <w:t xml:space="preserve">• taille du terrain permettant de prévoir une décharge ou un système d’élimination sur place </w:t>
                  </w:r>
                </w:p>
                <w:p w:rsidR="0050652C" w:rsidRPr="00B4668A" w:rsidRDefault="0050652C" w:rsidP="00B4668A">
                  <w:pPr>
                    <w:pStyle w:val="Default"/>
                    <w:spacing w:line="360" w:lineRule="auto"/>
                    <w:jc w:val="both"/>
                    <w:rPr>
                      <w:rFonts w:ascii="Century Gothic" w:hAnsi="Century Gothic" w:cstheme="minorBidi"/>
                      <w:color w:val="auto"/>
                      <w:sz w:val="22"/>
                    </w:rPr>
                  </w:pPr>
                </w:p>
                <w:p w:rsidR="0050652C" w:rsidRPr="00B4668A" w:rsidRDefault="002A221F" w:rsidP="00B4668A">
                  <w:pPr>
                    <w:spacing w:line="360" w:lineRule="auto"/>
                    <w:jc w:val="both"/>
                    <w:rPr>
                      <w:rFonts w:ascii="Century Gothic" w:hAnsi="Century Gothic" w:cs="GEJIJJ+TimesNewRoman"/>
                      <w:color w:val="000000"/>
                      <w:szCs w:val="24"/>
                    </w:rPr>
                  </w:pPr>
                  <w:r w:rsidRPr="00B4668A">
                    <w:rPr>
                      <w:rFonts w:ascii="Century Gothic" w:hAnsi="Century Gothic"/>
                      <w:color w:val="000000"/>
                      <w:szCs w:val="24"/>
                    </w:rPr>
                    <w:t xml:space="preserve">• </w:t>
                  </w:r>
                  <w:r w:rsidRPr="00B4668A">
                    <w:rPr>
                      <w:rFonts w:ascii="Century Gothic" w:hAnsi="Century Gothic" w:cs="GEJIJJ+TimesNewRoman"/>
                      <w:color w:val="000000"/>
                      <w:szCs w:val="24"/>
                    </w:rPr>
                    <w:t xml:space="preserve">accessibilité pour que des services publics ou privés de collecte puissent transporter les déchets solides jusqu’à leur destination finale </w:t>
                  </w:r>
                </w:p>
                <w:p w:rsidR="0050652C" w:rsidRPr="00B4668A" w:rsidRDefault="002A221F" w:rsidP="00B4668A">
                  <w:pPr>
                    <w:spacing w:line="360" w:lineRule="auto"/>
                    <w:jc w:val="both"/>
                    <w:rPr>
                      <w:rFonts w:ascii="Century Gothic" w:hAnsi="Century Gothic" w:cs="GEJIJJ+TimesNewRoman"/>
                      <w:color w:val="000000"/>
                      <w:szCs w:val="24"/>
                    </w:rPr>
                  </w:pPr>
                  <w:r w:rsidRPr="00B4668A">
                    <w:rPr>
                      <w:rFonts w:ascii="Century Gothic" w:hAnsi="Century Gothic" w:cs="GEJIJJ+TimesNewRoman"/>
                      <w:color w:val="000000"/>
                      <w:szCs w:val="24"/>
                    </w:rPr>
                    <w:t xml:space="preserve">• réutilisation ou recyclage des matériaux pour réduire les volumes de déchets </w:t>
                  </w:r>
                </w:p>
                <w:p w:rsidR="0050652C" w:rsidRPr="00B4668A" w:rsidRDefault="0050652C" w:rsidP="00B4668A">
                  <w:pPr>
                    <w:autoSpaceDE w:val="0"/>
                    <w:autoSpaceDN w:val="0"/>
                    <w:adjustRightInd w:val="0"/>
                    <w:spacing w:after="0" w:line="360" w:lineRule="auto"/>
                    <w:jc w:val="both"/>
                    <w:rPr>
                      <w:rFonts w:ascii="Century Gothic" w:hAnsi="Century Gothic" w:cs="GEJIJJ+TimesNewRoman"/>
                      <w:color w:val="000000"/>
                      <w:szCs w:val="24"/>
                    </w:rPr>
                  </w:pPr>
                </w:p>
                <w:p w:rsidR="0050652C" w:rsidRPr="00B4668A" w:rsidRDefault="0050652C" w:rsidP="00B4668A">
                  <w:pPr>
                    <w:autoSpaceDE w:val="0"/>
                    <w:autoSpaceDN w:val="0"/>
                    <w:adjustRightInd w:val="0"/>
                    <w:spacing w:after="0" w:line="360" w:lineRule="auto"/>
                    <w:jc w:val="both"/>
                    <w:rPr>
                      <w:rFonts w:ascii="Century Gothic" w:hAnsi="Century Gothic" w:cs="GEJIJJ+TimesNewRoman"/>
                      <w:color w:val="000000"/>
                      <w:szCs w:val="24"/>
                    </w:rPr>
                  </w:pPr>
                </w:p>
              </w:tc>
            </w:tr>
          </w:tbl>
          <w:p w:rsidR="0050652C" w:rsidRPr="00B4668A" w:rsidRDefault="0050652C" w:rsidP="00B4668A">
            <w:pPr>
              <w:spacing w:line="360" w:lineRule="auto"/>
              <w:jc w:val="both"/>
              <w:rPr>
                <w:rFonts w:ascii="Century Gothic" w:hAnsi="Century Gothic"/>
                <w:szCs w:val="24"/>
              </w:rPr>
            </w:pPr>
          </w:p>
        </w:tc>
      </w:tr>
      <w:tr w:rsidR="00F62272" w:rsidRPr="00B4668A" w:rsidTr="00F62272">
        <w:tc>
          <w:tcPr>
            <w:tcW w:w="7112" w:type="dxa"/>
          </w:tcPr>
          <w:tbl>
            <w:tblPr>
              <w:tblW w:w="0" w:type="auto"/>
              <w:tblInd w:w="72" w:type="dxa"/>
              <w:tblBorders>
                <w:top w:val="nil"/>
                <w:left w:val="nil"/>
                <w:bottom w:val="nil"/>
                <w:right w:val="nil"/>
              </w:tblBorders>
              <w:tblLook w:val="0000"/>
            </w:tblPr>
            <w:tblGrid>
              <w:gridCol w:w="2030"/>
              <w:gridCol w:w="4350"/>
              <w:gridCol w:w="222"/>
              <w:gridCol w:w="222"/>
            </w:tblGrid>
            <w:tr w:rsidR="00F62272" w:rsidRPr="00B4668A">
              <w:trPr>
                <w:gridAfter w:val="3"/>
              </w:trPr>
              <w:tc>
                <w:tcPr>
                  <w:tcW w:w="0" w:type="auto"/>
                </w:tcPr>
                <w:p w:rsidR="002A221F" w:rsidRPr="00B4668A" w:rsidRDefault="002A221F" w:rsidP="00B4668A">
                  <w:pPr>
                    <w:autoSpaceDE w:val="0"/>
                    <w:autoSpaceDN w:val="0"/>
                    <w:adjustRightInd w:val="0"/>
                    <w:spacing w:after="0" w:line="360" w:lineRule="auto"/>
                    <w:jc w:val="both"/>
                    <w:rPr>
                      <w:rFonts w:ascii="Century Gothic" w:hAnsi="Century Gothic" w:cs="JILELL+TimesNewRoman,Bold"/>
                      <w:color w:val="000000"/>
                      <w:szCs w:val="24"/>
                    </w:rPr>
                  </w:pPr>
                  <w:r w:rsidRPr="00B4668A">
                    <w:rPr>
                      <w:rFonts w:ascii="Century Gothic" w:hAnsi="Century Gothic" w:cs="JILELL+TimesNewRoman,Bold"/>
                      <w:b/>
                      <w:bCs/>
                      <w:color w:val="000000"/>
                      <w:szCs w:val="24"/>
                    </w:rPr>
                    <w:t xml:space="preserve">Impacts directs : exploitation de l’usine </w:t>
                  </w:r>
                </w:p>
              </w:tc>
            </w:tr>
            <w:tr w:rsidR="00F62272" w:rsidRPr="00B4668A">
              <w:tc>
                <w:tcPr>
                  <w:tcW w:w="0" w:type="auto"/>
                </w:tcPr>
                <w:p w:rsidR="002A221F"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s="GEJIJJ+TimesNewRoman"/>
                      <w:color w:val="000000"/>
                      <w:szCs w:val="24"/>
                    </w:rPr>
                    <w:t xml:space="preserve">5. </w:t>
                  </w:r>
                </w:p>
              </w:tc>
              <w:tc>
                <w:tcPr>
                  <w:tcW w:w="0" w:type="auto"/>
                </w:tcPr>
                <w:p w:rsidR="002A221F"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p>
                <w:p w:rsidR="002A221F"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p>
                <w:p w:rsidR="002A221F"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s="GEJIJJ+TimesNewRoman"/>
                      <w:color w:val="000000"/>
                      <w:szCs w:val="24"/>
                    </w:rPr>
                    <w:t xml:space="preserve">Pollution de l’eau causée par les rejets d’effluents liquides, les eaux de refroidissement ou les écoulements </w:t>
                  </w:r>
                  <w:r w:rsidRPr="00B4668A">
                    <w:rPr>
                      <w:rFonts w:ascii="Century Gothic" w:hAnsi="Century Gothic" w:cs="GEJIJJ+TimesNewRoman"/>
                      <w:color w:val="000000"/>
                      <w:szCs w:val="24"/>
                    </w:rPr>
                    <w:lastRenderedPageBreak/>
                    <w:t xml:space="preserve">provenant des déchets entassés. </w:t>
                  </w:r>
                </w:p>
                <w:p w:rsidR="0050652C"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s="GEJIJJ+TimesNewRoman"/>
                      <w:color w:val="000000"/>
                      <w:szCs w:val="24"/>
                    </w:rPr>
                    <w:t xml:space="preserve">• Usine : métaux, huiles et graisses, azote ammoniacal </w:t>
                  </w:r>
                </w:p>
                <w:p w:rsidR="0050652C"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s="GEJIJJ+TimesNewRoman"/>
                      <w:color w:val="000000"/>
                      <w:szCs w:val="24"/>
                    </w:rPr>
                    <w:t xml:space="preserve">• Écoulement des matériaux stockés : MES, pH, métaux </w:t>
                  </w:r>
                </w:p>
                <w:p w:rsidR="0050652C" w:rsidRPr="00B4668A" w:rsidRDefault="0050652C" w:rsidP="00B4668A">
                  <w:pPr>
                    <w:autoSpaceDE w:val="0"/>
                    <w:autoSpaceDN w:val="0"/>
                    <w:adjustRightInd w:val="0"/>
                    <w:spacing w:after="0" w:line="360" w:lineRule="auto"/>
                    <w:jc w:val="both"/>
                    <w:rPr>
                      <w:rFonts w:ascii="Century Gothic" w:hAnsi="Century Gothic" w:cs="GEJIJJ+TimesNewRoman"/>
                      <w:color w:val="000000"/>
                      <w:szCs w:val="24"/>
                    </w:rPr>
                  </w:pPr>
                </w:p>
              </w:tc>
              <w:tc>
                <w:tcPr>
                  <w:tcW w:w="0" w:type="auto"/>
                </w:tcPr>
                <w:p w:rsidR="002A221F" w:rsidRPr="00B4668A" w:rsidRDefault="002A221F" w:rsidP="00B4668A">
                  <w:pPr>
                    <w:keepNext/>
                    <w:keepLines/>
                    <w:autoSpaceDE w:val="0"/>
                    <w:autoSpaceDN w:val="0"/>
                    <w:adjustRightInd w:val="0"/>
                    <w:spacing w:before="200" w:after="0" w:line="360" w:lineRule="auto"/>
                    <w:jc w:val="both"/>
                    <w:outlineLvl w:val="2"/>
                    <w:rPr>
                      <w:rFonts w:ascii="Century Gothic" w:hAnsi="Century Gothic" w:cs="GEJIJJ+TimesNewRoman"/>
                      <w:color w:val="000000"/>
                      <w:szCs w:val="24"/>
                    </w:rPr>
                  </w:pPr>
                </w:p>
              </w:tc>
              <w:tc>
                <w:tcPr>
                  <w:tcW w:w="0" w:type="auto"/>
                </w:tcPr>
                <w:p w:rsidR="0050652C" w:rsidRPr="00B4668A" w:rsidRDefault="0050652C" w:rsidP="00B4668A">
                  <w:pPr>
                    <w:autoSpaceDE w:val="0"/>
                    <w:autoSpaceDN w:val="0"/>
                    <w:adjustRightInd w:val="0"/>
                    <w:spacing w:after="0" w:line="360" w:lineRule="auto"/>
                    <w:jc w:val="both"/>
                    <w:rPr>
                      <w:rFonts w:ascii="Century Gothic" w:hAnsi="Century Gothic" w:cs="GEJIJJ+TimesNewRoman"/>
                      <w:color w:val="000000"/>
                      <w:szCs w:val="24"/>
                    </w:rPr>
                  </w:pPr>
                </w:p>
              </w:tc>
            </w:tr>
          </w:tbl>
          <w:p w:rsidR="0050652C" w:rsidRPr="00B4668A" w:rsidRDefault="0050652C" w:rsidP="00B4668A">
            <w:pPr>
              <w:spacing w:line="360" w:lineRule="auto"/>
              <w:jc w:val="both"/>
              <w:rPr>
                <w:rFonts w:ascii="Century Gothic" w:hAnsi="Century Gothic"/>
                <w:szCs w:val="24"/>
              </w:rPr>
            </w:pPr>
          </w:p>
        </w:tc>
        <w:tc>
          <w:tcPr>
            <w:tcW w:w="7112" w:type="dxa"/>
          </w:tcPr>
          <w:tbl>
            <w:tblPr>
              <w:tblW w:w="0" w:type="auto"/>
              <w:tblInd w:w="72" w:type="dxa"/>
              <w:tblBorders>
                <w:top w:val="nil"/>
                <w:left w:val="nil"/>
                <w:bottom w:val="nil"/>
                <w:right w:val="nil"/>
              </w:tblBorders>
              <w:tblLook w:val="0000"/>
            </w:tblPr>
            <w:tblGrid>
              <w:gridCol w:w="399"/>
              <w:gridCol w:w="6425"/>
            </w:tblGrid>
            <w:tr w:rsidR="00F62272" w:rsidRPr="00B4668A" w:rsidTr="0044695B">
              <w:tc>
                <w:tcPr>
                  <w:tcW w:w="0" w:type="auto"/>
                </w:tcPr>
                <w:p w:rsidR="002A221F"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s="GEJIJJ+TimesNewRoman"/>
                      <w:color w:val="000000"/>
                      <w:szCs w:val="24"/>
                    </w:rPr>
                    <w:lastRenderedPageBreak/>
                    <w:t xml:space="preserve">5. </w:t>
                  </w:r>
                </w:p>
              </w:tc>
              <w:tc>
                <w:tcPr>
                  <w:tcW w:w="0" w:type="auto"/>
                </w:tcPr>
                <w:p w:rsidR="0050652C"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s="GEJIJJ+TimesNewRoman"/>
                      <w:color w:val="000000"/>
                      <w:szCs w:val="24"/>
                    </w:rPr>
                    <w:t xml:space="preserve">Il conviendrait d’analyser en laboratoire les effluents liquides y compris : métaux, MES, huiles et graisses, azote ammoniacal, pH, et d’assurer le suivi de la température sur place. </w:t>
                  </w:r>
                </w:p>
                <w:p w:rsidR="0050652C"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s="GEJIJJ+TimesNewRoman"/>
                      <w:color w:val="000000"/>
                      <w:szCs w:val="24"/>
                      <w:u w:val="single"/>
                    </w:rPr>
                    <w:t xml:space="preserve">Tous types d’usines </w:t>
                  </w:r>
                </w:p>
                <w:p w:rsidR="0050652C"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s="GEJIJJ+TimesNewRoman"/>
                      <w:color w:val="000000"/>
                      <w:szCs w:val="24"/>
                    </w:rPr>
                    <w:t xml:space="preserve">• pas de rejet d’eaux de refroidissement. Si leur recyclage se montre impossible, celles-ci seront déversées à condition que l’élévation de la température de l’exutoire </w:t>
                  </w:r>
                  <w:r w:rsidRPr="00B4668A">
                    <w:rPr>
                      <w:rFonts w:ascii="Century Gothic" w:hAnsi="Century Gothic" w:cs="GEJIJJ+TimesNewRoman"/>
                      <w:color w:val="000000"/>
                      <w:szCs w:val="24"/>
                    </w:rPr>
                    <w:lastRenderedPageBreak/>
                    <w:t>ne dépasse pas 3</w:t>
                  </w:r>
                  <w:r w:rsidRPr="00B4668A">
                    <w:rPr>
                      <w:rFonts w:ascii="Century Gothic" w:hAnsi="Century Gothic" w:cs="GEJIJJ+TimesNewRoman"/>
                      <w:color w:val="000000"/>
                      <w:position w:val="10"/>
                      <w:szCs w:val="24"/>
                      <w:vertAlign w:val="superscript"/>
                    </w:rPr>
                    <w:t xml:space="preserve">o </w:t>
                  </w:r>
                  <w:r w:rsidRPr="00B4668A">
                    <w:rPr>
                      <w:rFonts w:ascii="Century Gothic" w:hAnsi="Century Gothic" w:cs="GEJIJJ+TimesNewRoman"/>
                      <w:color w:val="000000"/>
                      <w:szCs w:val="24"/>
                    </w:rPr>
                    <w:t xml:space="preserve">C. </w:t>
                  </w:r>
                </w:p>
                <w:p w:rsidR="0050652C"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s="GEJIJJ+TimesNewRoman"/>
                      <w:color w:val="000000"/>
                      <w:szCs w:val="24"/>
                    </w:rPr>
                    <w:t xml:space="preserve">• Maintien de la teneur en pH des rejets d’effluents entre 6,0 et 9,0. </w:t>
                  </w:r>
                </w:p>
                <w:p w:rsidR="0050652C"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s="GEJIJJ+TimesNewRoman"/>
                      <w:color w:val="000000"/>
                      <w:szCs w:val="24"/>
                    </w:rPr>
                    <w:t xml:space="preserve">• </w:t>
                  </w:r>
                </w:p>
                <w:p w:rsidR="0050652C" w:rsidRPr="00B4668A" w:rsidRDefault="0050652C" w:rsidP="00B4668A">
                  <w:pPr>
                    <w:autoSpaceDE w:val="0"/>
                    <w:autoSpaceDN w:val="0"/>
                    <w:adjustRightInd w:val="0"/>
                    <w:spacing w:after="0" w:line="360" w:lineRule="auto"/>
                    <w:jc w:val="both"/>
                    <w:rPr>
                      <w:rFonts w:ascii="Century Gothic" w:hAnsi="Century Gothic" w:cs="GEJIJJ+TimesNewRoman"/>
                      <w:color w:val="000000"/>
                      <w:szCs w:val="24"/>
                    </w:rPr>
                  </w:pPr>
                </w:p>
                <w:p w:rsidR="002A221F"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s="GEJIJJ+TimesNewRoman"/>
                      <w:color w:val="000000"/>
                      <w:szCs w:val="24"/>
                      <w:u w:val="single"/>
                    </w:rPr>
                    <w:t xml:space="preserve">Aires de stockage des matières et aires d’évacuation des déchets solides </w:t>
                  </w:r>
                </w:p>
                <w:p w:rsidR="0050652C"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s="GEJIJJ+TimesNewRoman"/>
                      <w:color w:val="000000"/>
                      <w:szCs w:val="24"/>
                    </w:rPr>
                    <w:t xml:space="preserve">• Éviter que les eaux de pluie et de ruissellement ne viennent, de façon excessive, s’infiltrer au travers des matières. </w:t>
                  </w:r>
                </w:p>
                <w:p w:rsidR="0050652C"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s="GEJIJJ+TimesNewRoman"/>
                      <w:color w:val="000000"/>
                      <w:szCs w:val="24"/>
                    </w:rPr>
                    <w:t xml:space="preserve">• Procéder au revêtement des sols des zones de stockage à ciel ouvert. </w:t>
                  </w:r>
                </w:p>
                <w:p w:rsidR="0050652C" w:rsidRPr="00B4668A" w:rsidRDefault="0050652C" w:rsidP="00B4668A">
                  <w:pPr>
                    <w:autoSpaceDE w:val="0"/>
                    <w:autoSpaceDN w:val="0"/>
                    <w:adjustRightInd w:val="0"/>
                    <w:spacing w:after="0" w:line="360" w:lineRule="auto"/>
                    <w:jc w:val="both"/>
                    <w:rPr>
                      <w:rFonts w:ascii="Century Gothic" w:hAnsi="Century Gothic" w:cs="GEJIJJ+TimesNewRoman"/>
                      <w:color w:val="000000"/>
                      <w:szCs w:val="24"/>
                    </w:rPr>
                  </w:pPr>
                </w:p>
              </w:tc>
            </w:tr>
          </w:tbl>
          <w:p w:rsidR="0050652C" w:rsidRPr="00B4668A" w:rsidRDefault="0050652C" w:rsidP="00B4668A">
            <w:pPr>
              <w:spacing w:line="360" w:lineRule="auto"/>
              <w:jc w:val="both"/>
              <w:rPr>
                <w:rFonts w:ascii="Century Gothic" w:hAnsi="Century Gothic"/>
                <w:szCs w:val="24"/>
              </w:rPr>
            </w:pPr>
          </w:p>
        </w:tc>
      </w:tr>
      <w:tr w:rsidR="00F62272" w:rsidRPr="00B4668A" w:rsidTr="00F62272">
        <w:tc>
          <w:tcPr>
            <w:tcW w:w="7112" w:type="dxa"/>
          </w:tcPr>
          <w:tbl>
            <w:tblPr>
              <w:tblW w:w="0" w:type="auto"/>
              <w:tblInd w:w="72" w:type="dxa"/>
              <w:tblBorders>
                <w:top w:val="nil"/>
                <w:left w:val="nil"/>
                <w:bottom w:val="nil"/>
                <w:right w:val="nil"/>
              </w:tblBorders>
              <w:tblLook w:val="0000"/>
            </w:tblPr>
            <w:tblGrid>
              <w:gridCol w:w="399"/>
              <w:gridCol w:w="6425"/>
            </w:tblGrid>
            <w:tr w:rsidR="00F62272" w:rsidRPr="00B4668A">
              <w:tc>
                <w:tcPr>
                  <w:tcW w:w="0" w:type="auto"/>
                </w:tcPr>
                <w:p w:rsidR="002A221F"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s="GEJIJJ+TimesNewRoman"/>
                      <w:color w:val="000000"/>
                      <w:szCs w:val="24"/>
                    </w:rPr>
                    <w:lastRenderedPageBreak/>
                    <w:t xml:space="preserve">6. </w:t>
                  </w:r>
                </w:p>
              </w:tc>
              <w:tc>
                <w:tcPr>
                  <w:tcW w:w="0" w:type="auto"/>
                </w:tcPr>
                <w:p w:rsidR="002A221F"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p>
                <w:p w:rsidR="002A221F"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s="GEJIJJ+TimesNewRoman"/>
                      <w:color w:val="000000"/>
                      <w:szCs w:val="24"/>
                    </w:rPr>
                    <w:t xml:space="preserve">Émissions dans l’atmosphère de particules provenant des activités de l’usine en général. </w:t>
                  </w:r>
                </w:p>
              </w:tc>
            </w:tr>
          </w:tbl>
          <w:p w:rsidR="0050652C" w:rsidRPr="00B4668A" w:rsidRDefault="0050652C" w:rsidP="00B4668A">
            <w:pPr>
              <w:spacing w:line="360" w:lineRule="auto"/>
              <w:jc w:val="both"/>
              <w:rPr>
                <w:rFonts w:ascii="Century Gothic" w:hAnsi="Century Gothic"/>
                <w:szCs w:val="24"/>
              </w:rPr>
            </w:pPr>
          </w:p>
        </w:tc>
        <w:tc>
          <w:tcPr>
            <w:tcW w:w="7112" w:type="dxa"/>
          </w:tcPr>
          <w:tbl>
            <w:tblPr>
              <w:tblW w:w="0" w:type="auto"/>
              <w:tblInd w:w="72" w:type="dxa"/>
              <w:tblBorders>
                <w:top w:val="nil"/>
                <w:left w:val="nil"/>
                <w:bottom w:val="nil"/>
                <w:right w:val="nil"/>
              </w:tblBorders>
              <w:tblLook w:val="0000"/>
            </w:tblPr>
            <w:tblGrid>
              <w:gridCol w:w="399"/>
              <w:gridCol w:w="6425"/>
            </w:tblGrid>
            <w:tr w:rsidR="00F62272" w:rsidRPr="00B4668A" w:rsidTr="0044695B">
              <w:tc>
                <w:tcPr>
                  <w:tcW w:w="0" w:type="auto"/>
                </w:tcPr>
                <w:p w:rsidR="002A221F"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s="GEJIJJ+TimesNewRoman"/>
                      <w:color w:val="000000"/>
                      <w:szCs w:val="24"/>
                    </w:rPr>
                    <w:t xml:space="preserve">6. </w:t>
                  </w:r>
                </w:p>
              </w:tc>
              <w:tc>
                <w:tcPr>
                  <w:tcW w:w="0" w:type="auto"/>
                </w:tcPr>
                <w:p w:rsidR="0050652C"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s="GEJIJJ+TimesNewRoman"/>
                      <w:color w:val="000000"/>
                      <w:szCs w:val="24"/>
                    </w:rPr>
                    <w:t xml:space="preserve">Contrôler les particules en installant des collecteurs à filtre en tissu ou des dépoussiéreurs électrostatiques. </w:t>
                  </w:r>
                </w:p>
              </w:tc>
            </w:tr>
          </w:tbl>
          <w:p w:rsidR="0050652C" w:rsidRPr="00B4668A" w:rsidRDefault="0050652C" w:rsidP="00B4668A">
            <w:pPr>
              <w:spacing w:line="360" w:lineRule="auto"/>
              <w:jc w:val="both"/>
              <w:rPr>
                <w:rFonts w:ascii="Century Gothic" w:hAnsi="Century Gothic"/>
                <w:szCs w:val="24"/>
              </w:rPr>
            </w:pPr>
          </w:p>
        </w:tc>
      </w:tr>
      <w:tr w:rsidR="00F62272" w:rsidRPr="00B4668A" w:rsidTr="00F62272">
        <w:tc>
          <w:tcPr>
            <w:tcW w:w="7112" w:type="dxa"/>
          </w:tcPr>
          <w:p w:rsidR="002A221F" w:rsidRPr="00B4668A" w:rsidRDefault="002A221F" w:rsidP="00B4668A">
            <w:pPr>
              <w:spacing w:line="360" w:lineRule="auto"/>
              <w:rPr>
                <w:rFonts w:ascii="Century Gothic" w:hAnsi="Century Gothic"/>
                <w:szCs w:val="24"/>
              </w:rPr>
            </w:pPr>
          </w:p>
          <w:tbl>
            <w:tblPr>
              <w:tblW w:w="0" w:type="auto"/>
              <w:tblInd w:w="72" w:type="dxa"/>
              <w:tblBorders>
                <w:top w:val="nil"/>
                <w:left w:val="nil"/>
                <w:bottom w:val="nil"/>
                <w:right w:val="nil"/>
              </w:tblBorders>
              <w:tblLook w:val="0000"/>
            </w:tblPr>
            <w:tblGrid>
              <w:gridCol w:w="399"/>
              <w:gridCol w:w="6425"/>
            </w:tblGrid>
            <w:tr w:rsidR="00F62272" w:rsidRPr="00B4668A">
              <w:tc>
                <w:tcPr>
                  <w:tcW w:w="0" w:type="auto"/>
                </w:tcPr>
                <w:p w:rsidR="002A221F"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s="GEJIJJ+TimesNewRoman"/>
                      <w:color w:val="000000"/>
                      <w:szCs w:val="24"/>
                    </w:rPr>
                    <w:t xml:space="preserve">7. </w:t>
                  </w:r>
                </w:p>
              </w:tc>
              <w:tc>
                <w:tcPr>
                  <w:tcW w:w="0" w:type="auto"/>
                </w:tcPr>
                <w:p w:rsidR="002A221F"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p>
                <w:p w:rsidR="002A221F"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s="GEJIJJ+TimesNewRoman"/>
                      <w:color w:val="000000"/>
                      <w:szCs w:val="24"/>
                    </w:rPr>
                    <w:t xml:space="preserve">Émissions de gaz que dégage le traitement des métaux et la combustion de mazout. </w:t>
                  </w:r>
                </w:p>
              </w:tc>
            </w:tr>
          </w:tbl>
          <w:p w:rsidR="0050652C" w:rsidRPr="00B4668A" w:rsidRDefault="0050652C" w:rsidP="00B4668A">
            <w:pPr>
              <w:spacing w:line="360" w:lineRule="auto"/>
              <w:jc w:val="both"/>
              <w:rPr>
                <w:rFonts w:ascii="Century Gothic" w:hAnsi="Century Gothic"/>
                <w:szCs w:val="24"/>
              </w:rPr>
            </w:pPr>
          </w:p>
        </w:tc>
        <w:tc>
          <w:tcPr>
            <w:tcW w:w="7112" w:type="dxa"/>
          </w:tcPr>
          <w:p w:rsidR="002A221F" w:rsidRPr="00B4668A" w:rsidRDefault="002A221F" w:rsidP="00B4668A">
            <w:pPr>
              <w:spacing w:line="360" w:lineRule="auto"/>
              <w:rPr>
                <w:rFonts w:ascii="Century Gothic" w:hAnsi="Century Gothic"/>
                <w:szCs w:val="24"/>
              </w:rPr>
            </w:pPr>
          </w:p>
          <w:tbl>
            <w:tblPr>
              <w:tblW w:w="0" w:type="auto"/>
              <w:tblInd w:w="72" w:type="dxa"/>
              <w:tblBorders>
                <w:top w:val="nil"/>
                <w:left w:val="nil"/>
                <w:bottom w:val="nil"/>
                <w:right w:val="nil"/>
              </w:tblBorders>
              <w:tblLook w:val="0000"/>
            </w:tblPr>
            <w:tblGrid>
              <w:gridCol w:w="399"/>
              <w:gridCol w:w="6425"/>
            </w:tblGrid>
            <w:tr w:rsidR="00F62272" w:rsidRPr="00B4668A" w:rsidTr="0044695B">
              <w:tc>
                <w:tcPr>
                  <w:tcW w:w="0" w:type="auto"/>
                </w:tcPr>
                <w:p w:rsidR="002A221F"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s="GEJIJJ+TimesNewRoman"/>
                      <w:color w:val="000000"/>
                      <w:szCs w:val="24"/>
                    </w:rPr>
                    <w:t xml:space="preserve">7. </w:t>
                  </w:r>
                </w:p>
              </w:tc>
              <w:tc>
                <w:tcPr>
                  <w:tcW w:w="0" w:type="auto"/>
                </w:tcPr>
                <w:p w:rsidR="0050652C" w:rsidRPr="00B4668A" w:rsidRDefault="0050652C" w:rsidP="00B4668A">
                  <w:pPr>
                    <w:autoSpaceDE w:val="0"/>
                    <w:autoSpaceDN w:val="0"/>
                    <w:adjustRightInd w:val="0"/>
                    <w:spacing w:after="0" w:line="360" w:lineRule="auto"/>
                    <w:jc w:val="both"/>
                    <w:rPr>
                      <w:rFonts w:ascii="Century Gothic" w:hAnsi="Century Gothic"/>
                      <w:szCs w:val="24"/>
                    </w:rPr>
                  </w:pPr>
                </w:p>
                <w:p w:rsidR="0050652C"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olor w:val="000000"/>
                      <w:szCs w:val="24"/>
                    </w:rPr>
                    <w:t xml:space="preserve">• </w:t>
                  </w:r>
                  <w:r w:rsidRPr="00B4668A">
                    <w:rPr>
                      <w:rFonts w:ascii="Century Gothic" w:hAnsi="Century Gothic" w:cs="GEJIJJ+TimesNewRoman"/>
                      <w:color w:val="000000"/>
                      <w:szCs w:val="24"/>
                    </w:rPr>
                    <w:t xml:space="preserve">Épurer les gaz en employant des solutions alcalines. </w:t>
                  </w:r>
                </w:p>
                <w:p w:rsidR="0050652C"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s="GEJIJJ+TimesNewRoman"/>
                      <w:color w:val="000000"/>
                      <w:szCs w:val="24"/>
                    </w:rPr>
                    <w:t xml:space="preserve">• Une analyse des matières premières, lors de la phase de faisabilité du projet, peut déterminer les niveaux de soufre en vue de concevoir un équipement de contrôle des émissions. </w:t>
                  </w:r>
                </w:p>
                <w:p w:rsidR="0050652C" w:rsidRPr="00B4668A" w:rsidRDefault="0050652C" w:rsidP="00B4668A">
                  <w:pPr>
                    <w:autoSpaceDE w:val="0"/>
                    <w:autoSpaceDN w:val="0"/>
                    <w:adjustRightInd w:val="0"/>
                    <w:spacing w:after="0" w:line="360" w:lineRule="auto"/>
                    <w:jc w:val="both"/>
                    <w:rPr>
                      <w:rFonts w:ascii="Century Gothic" w:hAnsi="Century Gothic" w:cs="GEJIJJ+TimesNewRoman"/>
                      <w:color w:val="000000"/>
                      <w:szCs w:val="24"/>
                    </w:rPr>
                  </w:pPr>
                </w:p>
              </w:tc>
            </w:tr>
          </w:tbl>
          <w:p w:rsidR="0050652C" w:rsidRPr="00B4668A" w:rsidRDefault="0050652C" w:rsidP="00B4668A">
            <w:pPr>
              <w:spacing w:line="360" w:lineRule="auto"/>
              <w:jc w:val="both"/>
              <w:rPr>
                <w:rFonts w:ascii="Century Gothic" w:hAnsi="Century Gothic"/>
                <w:szCs w:val="24"/>
              </w:rPr>
            </w:pPr>
          </w:p>
        </w:tc>
      </w:tr>
      <w:tr w:rsidR="00F62272" w:rsidRPr="00B4668A" w:rsidTr="00F62272">
        <w:tc>
          <w:tcPr>
            <w:tcW w:w="7112" w:type="dxa"/>
          </w:tcPr>
          <w:tbl>
            <w:tblPr>
              <w:tblW w:w="0" w:type="auto"/>
              <w:tblInd w:w="72" w:type="dxa"/>
              <w:tblBorders>
                <w:top w:val="nil"/>
                <w:left w:val="nil"/>
                <w:bottom w:val="nil"/>
                <w:right w:val="nil"/>
              </w:tblBorders>
              <w:tblLook w:val="0000"/>
            </w:tblPr>
            <w:tblGrid>
              <w:gridCol w:w="399"/>
              <w:gridCol w:w="6425"/>
            </w:tblGrid>
            <w:tr w:rsidR="00F62272" w:rsidRPr="00B4668A">
              <w:tc>
                <w:tcPr>
                  <w:tcW w:w="0" w:type="auto"/>
                </w:tcPr>
                <w:p w:rsidR="002A221F"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s="GEJIJJ+TimesNewRoman"/>
                      <w:color w:val="000000"/>
                      <w:szCs w:val="24"/>
                    </w:rPr>
                    <w:lastRenderedPageBreak/>
                    <w:t xml:space="preserve">8. </w:t>
                  </w:r>
                </w:p>
              </w:tc>
              <w:tc>
                <w:tcPr>
                  <w:tcW w:w="0" w:type="auto"/>
                </w:tcPr>
                <w:p w:rsidR="002A221F"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p>
                <w:p w:rsidR="002A221F"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s="GEJIJJ+TimesNewRoman"/>
                      <w:color w:val="000000"/>
                      <w:szCs w:val="24"/>
                    </w:rPr>
                    <w:t xml:space="preserve">Déversements accidentels de solvants potentiellement dangereux, de substances acides et alcalines. </w:t>
                  </w:r>
                </w:p>
              </w:tc>
            </w:tr>
          </w:tbl>
          <w:p w:rsidR="002A221F" w:rsidRPr="00B4668A" w:rsidRDefault="002A221F" w:rsidP="00B4668A">
            <w:pPr>
              <w:autoSpaceDE w:val="0"/>
              <w:autoSpaceDN w:val="0"/>
              <w:adjustRightInd w:val="0"/>
              <w:spacing w:after="200" w:line="360" w:lineRule="auto"/>
              <w:jc w:val="both"/>
              <w:rPr>
                <w:rFonts w:ascii="Century Gothic" w:hAnsi="Century Gothic" w:cs="GEJIJJ+TimesNewRoman"/>
                <w:color w:val="000000"/>
                <w:szCs w:val="24"/>
              </w:rPr>
            </w:pPr>
          </w:p>
        </w:tc>
        <w:tc>
          <w:tcPr>
            <w:tcW w:w="7112" w:type="dxa"/>
          </w:tcPr>
          <w:tbl>
            <w:tblPr>
              <w:tblW w:w="0" w:type="auto"/>
              <w:tblInd w:w="72" w:type="dxa"/>
              <w:tblBorders>
                <w:top w:val="nil"/>
                <w:left w:val="nil"/>
                <w:bottom w:val="nil"/>
                <w:right w:val="nil"/>
              </w:tblBorders>
              <w:tblLook w:val="0000"/>
            </w:tblPr>
            <w:tblGrid>
              <w:gridCol w:w="399"/>
              <w:gridCol w:w="6425"/>
            </w:tblGrid>
            <w:tr w:rsidR="00F62272" w:rsidRPr="00B4668A" w:rsidTr="0044695B">
              <w:tc>
                <w:tcPr>
                  <w:tcW w:w="0" w:type="auto"/>
                </w:tcPr>
                <w:p w:rsidR="0050652C"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s="GEJIJJ+TimesNewRoman"/>
                      <w:color w:val="000000"/>
                      <w:szCs w:val="24"/>
                    </w:rPr>
                    <w:t xml:space="preserve">8. </w:t>
                  </w:r>
                </w:p>
              </w:tc>
              <w:tc>
                <w:tcPr>
                  <w:tcW w:w="0" w:type="auto"/>
                </w:tcPr>
                <w:p w:rsidR="0050652C" w:rsidRPr="00B4668A" w:rsidRDefault="0050652C" w:rsidP="00B4668A">
                  <w:pPr>
                    <w:autoSpaceDE w:val="0"/>
                    <w:autoSpaceDN w:val="0"/>
                    <w:adjustRightInd w:val="0"/>
                    <w:spacing w:after="0" w:line="360" w:lineRule="auto"/>
                    <w:jc w:val="both"/>
                    <w:rPr>
                      <w:rFonts w:ascii="Century Gothic" w:hAnsi="Century Gothic"/>
                      <w:szCs w:val="24"/>
                    </w:rPr>
                  </w:pPr>
                </w:p>
                <w:p w:rsidR="0050652C"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olor w:val="000000"/>
                      <w:szCs w:val="24"/>
                    </w:rPr>
                    <w:t xml:space="preserve">• </w:t>
                  </w:r>
                  <w:r w:rsidRPr="00B4668A">
                    <w:rPr>
                      <w:rFonts w:ascii="Century Gothic" w:hAnsi="Century Gothic" w:cs="GEJIJJ+TimesNewRoman"/>
                      <w:color w:val="000000"/>
                      <w:szCs w:val="24"/>
                    </w:rPr>
                    <w:t xml:space="preserve">Entretenir les aires qui servent à l’entreposage et à l’élimination des substances pour enrayer les rejets accidentels. </w:t>
                  </w:r>
                </w:p>
                <w:p w:rsidR="0050652C"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s="GEJIJJ+TimesNewRoman"/>
                      <w:color w:val="000000"/>
                      <w:szCs w:val="24"/>
                    </w:rPr>
                    <w:t xml:space="preserve">• Installer un équipement de contrôle des déversements, des réservoirs à double parois ou creuser des fossés autour des réservoirs de stockage. </w:t>
                  </w:r>
                </w:p>
                <w:p w:rsidR="0050652C" w:rsidRPr="00B4668A" w:rsidRDefault="0050652C" w:rsidP="00B4668A">
                  <w:pPr>
                    <w:autoSpaceDE w:val="0"/>
                    <w:autoSpaceDN w:val="0"/>
                    <w:adjustRightInd w:val="0"/>
                    <w:spacing w:after="0" w:line="360" w:lineRule="auto"/>
                    <w:jc w:val="both"/>
                    <w:rPr>
                      <w:rFonts w:ascii="Century Gothic" w:hAnsi="Century Gothic" w:cs="GEJIJJ+TimesNewRoman"/>
                      <w:color w:val="000000"/>
                      <w:szCs w:val="24"/>
                    </w:rPr>
                  </w:pPr>
                </w:p>
              </w:tc>
            </w:tr>
          </w:tbl>
          <w:p w:rsidR="002A221F" w:rsidRPr="00B4668A" w:rsidRDefault="002A221F" w:rsidP="00B4668A">
            <w:pPr>
              <w:autoSpaceDE w:val="0"/>
              <w:autoSpaceDN w:val="0"/>
              <w:adjustRightInd w:val="0"/>
              <w:spacing w:after="200" w:line="360" w:lineRule="auto"/>
              <w:jc w:val="both"/>
              <w:rPr>
                <w:rFonts w:ascii="Century Gothic" w:hAnsi="Century Gothic" w:cs="GEJIJJ+TimesNewRoman"/>
                <w:color w:val="000000"/>
                <w:szCs w:val="24"/>
              </w:rPr>
            </w:pPr>
          </w:p>
        </w:tc>
      </w:tr>
      <w:tr w:rsidR="00F62272" w:rsidRPr="00B4668A" w:rsidTr="00F62272">
        <w:tc>
          <w:tcPr>
            <w:tcW w:w="7112" w:type="dxa"/>
          </w:tcPr>
          <w:tbl>
            <w:tblPr>
              <w:tblW w:w="0" w:type="auto"/>
              <w:tblInd w:w="72" w:type="dxa"/>
              <w:tblBorders>
                <w:top w:val="nil"/>
                <w:left w:val="nil"/>
                <w:bottom w:val="nil"/>
                <w:right w:val="nil"/>
              </w:tblBorders>
              <w:tblLook w:val="0000"/>
            </w:tblPr>
            <w:tblGrid>
              <w:gridCol w:w="399"/>
              <w:gridCol w:w="6425"/>
            </w:tblGrid>
            <w:tr w:rsidR="00F62272" w:rsidRPr="00B4668A">
              <w:tc>
                <w:tcPr>
                  <w:tcW w:w="0" w:type="auto"/>
                </w:tcPr>
                <w:p w:rsidR="002A221F"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s="GEJIJJ+TimesNewRoman"/>
                      <w:color w:val="000000"/>
                      <w:szCs w:val="24"/>
                    </w:rPr>
                    <w:t xml:space="preserve">9. </w:t>
                  </w:r>
                </w:p>
              </w:tc>
              <w:tc>
                <w:tcPr>
                  <w:tcW w:w="0" w:type="auto"/>
                </w:tcPr>
                <w:p w:rsidR="002A221F"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p>
                <w:p w:rsidR="0050652C"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s="GEJIJJ+TimesNewRoman"/>
                      <w:color w:val="000000"/>
                      <w:szCs w:val="24"/>
                    </w:rPr>
                    <w:t xml:space="preserve">Les ruissellements de surface des composés, des matières premières, du charbon, des grésillons de coke et autres substances habituellement empilées dans l’enceinte de l’usine peuvent être facteurs de pollution. </w:t>
                  </w:r>
                </w:p>
              </w:tc>
            </w:tr>
          </w:tbl>
          <w:p w:rsidR="002A221F" w:rsidRPr="00B4668A" w:rsidRDefault="002A221F" w:rsidP="00B4668A">
            <w:pPr>
              <w:autoSpaceDE w:val="0"/>
              <w:autoSpaceDN w:val="0"/>
              <w:adjustRightInd w:val="0"/>
              <w:spacing w:after="200" w:line="360" w:lineRule="auto"/>
              <w:jc w:val="both"/>
              <w:rPr>
                <w:rFonts w:ascii="Century Gothic" w:hAnsi="Century Gothic" w:cs="GEJIJJ+TimesNewRoman"/>
                <w:color w:val="000000"/>
                <w:szCs w:val="24"/>
              </w:rPr>
            </w:pPr>
          </w:p>
        </w:tc>
        <w:tc>
          <w:tcPr>
            <w:tcW w:w="7112" w:type="dxa"/>
          </w:tcPr>
          <w:tbl>
            <w:tblPr>
              <w:tblW w:w="0" w:type="auto"/>
              <w:tblInd w:w="72" w:type="dxa"/>
              <w:tblBorders>
                <w:top w:val="nil"/>
                <w:left w:val="nil"/>
                <w:bottom w:val="nil"/>
                <w:right w:val="nil"/>
              </w:tblBorders>
              <w:tblLook w:val="0000"/>
            </w:tblPr>
            <w:tblGrid>
              <w:gridCol w:w="399"/>
              <w:gridCol w:w="6425"/>
            </w:tblGrid>
            <w:tr w:rsidR="00F62272" w:rsidRPr="00B4668A" w:rsidTr="0044695B">
              <w:tc>
                <w:tcPr>
                  <w:tcW w:w="0" w:type="auto"/>
                </w:tcPr>
                <w:p w:rsidR="0050652C"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s="GEJIJJ+TimesNewRoman"/>
                      <w:color w:val="000000"/>
                      <w:szCs w:val="24"/>
                    </w:rPr>
                    <w:t xml:space="preserve">9. </w:t>
                  </w:r>
                </w:p>
              </w:tc>
              <w:tc>
                <w:tcPr>
                  <w:tcW w:w="0" w:type="auto"/>
                </w:tcPr>
                <w:p w:rsidR="0050652C" w:rsidRPr="00B4668A" w:rsidRDefault="0050652C" w:rsidP="00B4668A">
                  <w:pPr>
                    <w:autoSpaceDE w:val="0"/>
                    <w:autoSpaceDN w:val="0"/>
                    <w:adjustRightInd w:val="0"/>
                    <w:spacing w:after="0" w:line="360" w:lineRule="auto"/>
                    <w:jc w:val="both"/>
                    <w:rPr>
                      <w:rFonts w:ascii="Century Gothic" w:hAnsi="Century Gothic"/>
                      <w:szCs w:val="24"/>
                    </w:rPr>
                  </w:pPr>
                </w:p>
                <w:p w:rsidR="0050652C"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olor w:val="000000"/>
                      <w:szCs w:val="24"/>
                    </w:rPr>
                    <w:t xml:space="preserve">• </w:t>
                  </w:r>
                  <w:r w:rsidRPr="00B4668A">
                    <w:rPr>
                      <w:rFonts w:ascii="Century Gothic" w:hAnsi="Century Gothic" w:cs="GEJIJJ+TimesNewRoman"/>
                      <w:color w:val="000000"/>
                      <w:szCs w:val="24"/>
                    </w:rPr>
                    <w:t xml:space="preserve">Il est possible de contrôler l’infiltration des eaux de pluie et les écoulements émanant des matières solides, du mazout et des déchets empilés en recouvrant ces substances d’une bâche ou en </w:t>
                  </w:r>
                </w:p>
                <w:p w:rsidR="0050652C" w:rsidRPr="00B4668A" w:rsidRDefault="0050652C" w:rsidP="00B4668A">
                  <w:pPr>
                    <w:autoSpaceDE w:val="0"/>
                    <w:autoSpaceDN w:val="0"/>
                    <w:adjustRightInd w:val="0"/>
                    <w:spacing w:after="0" w:line="360" w:lineRule="auto"/>
                    <w:jc w:val="both"/>
                    <w:rPr>
                      <w:rFonts w:ascii="Century Gothic" w:hAnsi="Century Gothic" w:cs="GEJIJJ+TimesNewRoman"/>
                      <w:color w:val="000000"/>
                      <w:szCs w:val="24"/>
                    </w:rPr>
                  </w:pPr>
                </w:p>
                <w:p w:rsidR="002A221F"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s="GEJIJJ+TimesNewRoman"/>
                      <w:color w:val="000000"/>
                      <w:szCs w:val="24"/>
                    </w:rPr>
                    <w:t xml:space="preserve">les confinant de manière à empêcher la pollution des eaux de surface et du sous-sol. </w:t>
                  </w:r>
                </w:p>
                <w:p w:rsidR="0050652C"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s="GEJIJJ+TimesNewRoman"/>
                      <w:color w:val="000000"/>
                      <w:szCs w:val="24"/>
                    </w:rPr>
                    <w:t xml:space="preserve">• Les zones endiguées devraient être de taille suffisante pour contenir les précipitations d’une durée moyenne de 24 heures. </w:t>
                  </w:r>
                </w:p>
                <w:p w:rsidR="0050652C" w:rsidRPr="00B4668A" w:rsidRDefault="0050652C" w:rsidP="00B4668A">
                  <w:pPr>
                    <w:autoSpaceDE w:val="0"/>
                    <w:autoSpaceDN w:val="0"/>
                    <w:adjustRightInd w:val="0"/>
                    <w:spacing w:after="0" w:line="360" w:lineRule="auto"/>
                    <w:jc w:val="both"/>
                    <w:rPr>
                      <w:rFonts w:ascii="Century Gothic" w:hAnsi="Century Gothic" w:cs="GEJIJJ+TimesNewRoman"/>
                      <w:color w:val="000000"/>
                      <w:szCs w:val="24"/>
                    </w:rPr>
                  </w:pPr>
                </w:p>
              </w:tc>
            </w:tr>
          </w:tbl>
          <w:p w:rsidR="002A221F" w:rsidRPr="00B4668A" w:rsidRDefault="002A221F" w:rsidP="00B4668A">
            <w:pPr>
              <w:autoSpaceDE w:val="0"/>
              <w:autoSpaceDN w:val="0"/>
              <w:adjustRightInd w:val="0"/>
              <w:spacing w:after="200" w:line="360" w:lineRule="auto"/>
              <w:jc w:val="both"/>
              <w:rPr>
                <w:rFonts w:ascii="Century Gothic" w:hAnsi="Century Gothic" w:cs="GEJIJJ+TimesNewRoman"/>
                <w:color w:val="000000"/>
                <w:szCs w:val="24"/>
              </w:rPr>
            </w:pPr>
          </w:p>
        </w:tc>
      </w:tr>
    </w:tbl>
    <w:p w:rsidR="0050652C" w:rsidRPr="00B4668A" w:rsidRDefault="0050652C" w:rsidP="00B4668A">
      <w:pPr>
        <w:spacing w:line="360" w:lineRule="auto"/>
        <w:jc w:val="both"/>
        <w:rPr>
          <w:rFonts w:ascii="Century Gothic" w:hAnsi="Century Gothic"/>
          <w:szCs w:val="24"/>
        </w:rPr>
      </w:pPr>
    </w:p>
    <w:p w:rsidR="0050652C" w:rsidRPr="00B4668A" w:rsidRDefault="002A221F" w:rsidP="00B4668A">
      <w:pPr>
        <w:spacing w:line="360" w:lineRule="auto"/>
        <w:jc w:val="both"/>
        <w:rPr>
          <w:rFonts w:ascii="Century Gothic" w:hAnsi="Century Gothic"/>
          <w:szCs w:val="24"/>
        </w:rPr>
      </w:pPr>
      <w:r w:rsidRPr="00B4668A">
        <w:rPr>
          <w:rFonts w:ascii="Century Gothic" w:hAnsi="Century Gothic"/>
          <w:szCs w:val="24"/>
        </w:rPr>
        <w:br w:type="page"/>
      </w:r>
    </w:p>
    <w:p w:rsidR="0050652C" w:rsidRPr="00B4668A" w:rsidRDefault="002A221F" w:rsidP="00B4668A">
      <w:pPr>
        <w:spacing w:line="360" w:lineRule="auto"/>
        <w:jc w:val="both"/>
        <w:rPr>
          <w:rFonts w:ascii="Century Gothic" w:hAnsi="Century Gothic"/>
          <w:szCs w:val="24"/>
        </w:rPr>
      </w:pPr>
      <w:r w:rsidRPr="00B4668A">
        <w:rPr>
          <w:rFonts w:ascii="Century Gothic" w:hAnsi="Century Gothic" w:cs="JILELL+TimesNewRoman,Bold"/>
          <w:b/>
          <w:bCs/>
          <w:color w:val="000000"/>
          <w:szCs w:val="24"/>
        </w:rPr>
        <w:lastRenderedPageBreak/>
        <w:t>Impacts indirects</w:t>
      </w:r>
    </w:p>
    <w:tbl>
      <w:tblPr>
        <w:tblStyle w:val="Grilledutableau"/>
        <w:tblW w:w="0" w:type="auto"/>
        <w:tblLook w:val="04A0"/>
      </w:tblPr>
      <w:tblGrid>
        <w:gridCol w:w="7112"/>
        <w:gridCol w:w="7112"/>
      </w:tblGrid>
      <w:tr w:rsidR="00F62272" w:rsidRPr="00B4668A" w:rsidTr="00F62272">
        <w:tc>
          <w:tcPr>
            <w:tcW w:w="7112" w:type="dxa"/>
          </w:tcPr>
          <w:tbl>
            <w:tblPr>
              <w:tblW w:w="0" w:type="auto"/>
              <w:tblInd w:w="72" w:type="dxa"/>
              <w:tblBorders>
                <w:top w:val="nil"/>
                <w:left w:val="nil"/>
                <w:bottom w:val="nil"/>
                <w:right w:val="nil"/>
              </w:tblBorders>
              <w:tblLook w:val="0000"/>
            </w:tblPr>
            <w:tblGrid>
              <w:gridCol w:w="521"/>
              <w:gridCol w:w="5859"/>
              <w:gridCol w:w="222"/>
              <w:gridCol w:w="222"/>
            </w:tblGrid>
            <w:tr w:rsidR="00F62272" w:rsidRPr="00B4668A">
              <w:trPr>
                <w:gridAfter w:val="3"/>
              </w:trPr>
              <w:tc>
                <w:tcPr>
                  <w:tcW w:w="0" w:type="auto"/>
                </w:tcPr>
                <w:p w:rsidR="002A221F" w:rsidRPr="00B4668A" w:rsidRDefault="002A221F" w:rsidP="00B4668A">
                  <w:pPr>
                    <w:autoSpaceDE w:val="0"/>
                    <w:autoSpaceDN w:val="0"/>
                    <w:adjustRightInd w:val="0"/>
                    <w:spacing w:after="0" w:line="360" w:lineRule="auto"/>
                    <w:jc w:val="both"/>
                    <w:rPr>
                      <w:rFonts w:ascii="Century Gothic" w:hAnsi="Century Gothic" w:cs="JILELL+TimesNewRoman,Bold"/>
                      <w:color w:val="000000"/>
                      <w:szCs w:val="24"/>
                    </w:rPr>
                  </w:pPr>
                </w:p>
              </w:tc>
            </w:tr>
            <w:tr w:rsidR="00F62272" w:rsidRPr="00B4668A">
              <w:tc>
                <w:tcPr>
                  <w:tcW w:w="0" w:type="auto"/>
                </w:tcPr>
                <w:p w:rsidR="002A221F"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s="GEJIJJ+TimesNewRoman"/>
                      <w:color w:val="000000"/>
                      <w:szCs w:val="24"/>
                    </w:rPr>
                    <w:t xml:space="preserve">10. </w:t>
                  </w:r>
                </w:p>
              </w:tc>
              <w:tc>
                <w:tcPr>
                  <w:tcW w:w="0" w:type="auto"/>
                </w:tcPr>
                <w:p w:rsidR="0050652C" w:rsidRPr="00B4668A" w:rsidRDefault="0050652C" w:rsidP="00B4668A">
                  <w:pPr>
                    <w:autoSpaceDE w:val="0"/>
                    <w:autoSpaceDN w:val="0"/>
                    <w:adjustRightInd w:val="0"/>
                    <w:spacing w:after="0" w:line="360" w:lineRule="auto"/>
                    <w:jc w:val="both"/>
                    <w:rPr>
                      <w:rFonts w:ascii="Century Gothic" w:hAnsi="Century Gothic"/>
                      <w:szCs w:val="24"/>
                    </w:rPr>
                  </w:pPr>
                </w:p>
                <w:p w:rsidR="0050652C"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olor w:val="000000"/>
                      <w:szCs w:val="24"/>
                    </w:rPr>
                    <w:t xml:space="preserve">• </w:t>
                  </w:r>
                  <w:r w:rsidRPr="00B4668A">
                    <w:rPr>
                      <w:rFonts w:ascii="Century Gothic" w:hAnsi="Century Gothic" w:cs="GEJIJJ+TimesNewRoman"/>
                      <w:color w:val="000000"/>
                      <w:szCs w:val="24"/>
                    </w:rPr>
                    <w:t xml:space="preserve">Risques pour la santé des travailleurs causés par la manipulation des matériaux ou par les procédés de fabrication et exposés aux poussières fugaces ainsi qu’au bruit. </w:t>
                  </w:r>
                </w:p>
                <w:p w:rsidR="0050652C"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s="GEJIJJ+TimesNewRoman"/>
                      <w:color w:val="000000"/>
                      <w:szCs w:val="24"/>
                    </w:rPr>
                    <w:t xml:space="preserve">• Accidents se produisant plus fréquemment que la moyenne en raison d’un manque de personnel ou de qualifications. </w:t>
                  </w:r>
                </w:p>
                <w:p w:rsidR="0050652C" w:rsidRPr="00B4668A" w:rsidRDefault="0050652C" w:rsidP="00B4668A">
                  <w:pPr>
                    <w:autoSpaceDE w:val="0"/>
                    <w:autoSpaceDN w:val="0"/>
                    <w:adjustRightInd w:val="0"/>
                    <w:spacing w:after="0" w:line="360" w:lineRule="auto"/>
                    <w:jc w:val="both"/>
                    <w:rPr>
                      <w:rFonts w:ascii="Century Gothic" w:hAnsi="Century Gothic" w:cs="GEJIJJ+TimesNewRoman"/>
                      <w:color w:val="000000"/>
                      <w:szCs w:val="24"/>
                    </w:rPr>
                  </w:pPr>
                </w:p>
              </w:tc>
              <w:tc>
                <w:tcPr>
                  <w:tcW w:w="0" w:type="auto"/>
                </w:tcPr>
                <w:p w:rsidR="002A221F" w:rsidRPr="00B4668A" w:rsidRDefault="002A221F" w:rsidP="00B4668A">
                  <w:pPr>
                    <w:keepNext/>
                    <w:keepLines/>
                    <w:autoSpaceDE w:val="0"/>
                    <w:autoSpaceDN w:val="0"/>
                    <w:adjustRightInd w:val="0"/>
                    <w:spacing w:before="200" w:after="0" w:line="360" w:lineRule="auto"/>
                    <w:jc w:val="both"/>
                    <w:outlineLvl w:val="2"/>
                    <w:rPr>
                      <w:rFonts w:ascii="Century Gothic" w:hAnsi="Century Gothic" w:cs="GEJIJJ+TimesNewRoman"/>
                      <w:color w:val="000000"/>
                      <w:szCs w:val="24"/>
                    </w:rPr>
                  </w:pPr>
                </w:p>
              </w:tc>
              <w:tc>
                <w:tcPr>
                  <w:tcW w:w="0" w:type="auto"/>
                </w:tcPr>
                <w:p w:rsidR="0050652C" w:rsidRPr="00B4668A" w:rsidRDefault="0050652C" w:rsidP="00B4668A">
                  <w:pPr>
                    <w:autoSpaceDE w:val="0"/>
                    <w:autoSpaceDN w:val="0"/>
                    <w:adjustRightInd w:val="0"/>
                    <w:spacing w:after="0" w:line="360" w:lineRule="auto"/>
                    <w:jc w:val="both"/>
                    <w:rPr>
                      <w:rFonts w:ascii="Century Gothic" w:hAnsi="Century Gothic" w:cs="GEJIJJ+TimesNewRoman"/>
                      <w:color w:val="000000"/>
                      <w:szCs w:val="24"/>
                    </w:rPr>
                  </w:pPr>
                </w:p>
              </w:tc>
            </w:tr>
          </w:tbl>
          <w:p w:rsidR="0050652C" w:rsidRPr="00B4668A" w:rsidRDefault="0050652C" w:rsidP="00B4668A">
            <w:pPr>
              <w:spacing w:line="360" w:lineRule="auto"/>
              <w:jc w:val="both"/>
              <w:rPr>
                <w:rFonts w:ascii="Century Gothic" w:hAnsi="Century Gothic"/>
                <w:szCs w:val="24"/>
              </w:rPr>
            </w:pPr>
          </w:p>
        </w:tc>
        <w:tc>
          <w:tcPr>
            <w:tcW w:w="7112" w:type="dxa"/>
          </w:tcPr>
          <w:tbl>
            <w:tblPr>
              <w:tblW w:w="0" w:type="auto"/>
              <w:tblInd w:w="72" w:type="dxa"/>
              <w:tblBorders>
                <w:top w:val="nil"/>
                <w:left w:val="nil"/>
                <w:bottom w:val="nil"/>
                <w:right w:val="nil"/>
              </w:tblBorders>
              <w:tblLook w:val="0000"/>
            </w:tblPr>
            <w:tblGrid>
              <w:gridCol w:w="521"/>
              <w:gridCol w:w="6303"/>
            </w:tblGrid>
            <w:tr w:rsidR="00F62272" w:rsidRPr="00B4668A" w:rsidTr="0044695B">
              <w:tc>
                <w:tcPr>
                  <w:tcW w:w="0" w:type="auto"/>
                </w:tcPr>
                <w:p w:rsidR="002A221F"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s="GEJIJJ+TimesNewRoman"/>
                      <w:color w:val="000000"/>
                      <w:szCs w:val="24"/>
                    </w:rPr>
                    <w:t xml:space="preserve">10. </w:t>
                  </w:r>
                </w:p>
              </w:tc>
              <w:tc>
                <w:tcPr>
                  <w:tcW w:w="0" w:type="auto"/>
                </w:tcPr>
                <w:p w:rsidR="0050652C"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s="GEJIJJ+TimesNewRoman"/>
                      <w:color w:val="000000"/>
                      <w:szCs w:val="24"/>
                    </w:rPr>
                    <w:t xml:space="preserve">L’usine devrait mettre en place un Programme de santé et de sécurité se proposant de : </w:t>
                  </w:r>
                </w:p>
                <w:p w:rsidR="0050652C"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s="GEJIJJ+TimesNewRoman"/>
                      <w:color w:val="000000"/>
                      <w:szCs w:val="24"/>
                    </w:rPr>
                    <w:t xml:space="preserve">• identifier, évaluer, exercer le suivi et contrôler les risques pour la santé et la sécurité des travailleurs </w:t>
                  </w:r>
                </w:p>
                <w:p w:rsidR="0050652C"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s="GEJIJJ+TimesNewRoman"/>
                      <w:color w:val="000000"/>
                      <w:szCs w:val="24"/>
                    </w:rPr>
                    <w:t xml:space="preserve">• fournir une formation en matière de sécurité </w:t>
                  </w:r>
                </w:p>
                <w:p w:rsidR="0050652C" w:rsidRPr="00B4668A" w:rsidRDefault="0050652C" w:rsidP="00B4668A">
                  <w:pPr>
                    <w:autoSpaceDE w:val="0"/>
                    <w:autoSpaceDN w:val="0"/>
                    <w:adjustRightInd w:val="0"/>
                    <w:spacing w:after="0" w:line="360" w:lineRule="auto"/>
                    <w:jc w:val="both"/>
                    <w:rPr>
                      <w:rFonts w:ascii="Century Gothic" w:hAnsi="Century Gothic" w:cs="GEJIJJ+TimesNewRoman"/>
                      <w:color w:val="000000"/>
                      <w:szCs w:val="24"/>
                    </w:rPr>
                  </w:pPr>
                </w:p>
              </w:tc>
            </w:tr>
          </w:tbl>
          <w:p w:rsidR="0050652C" w:rsidRPr="00B4668A" w:rsidRDefault="0050652C" w:rsidP="00B4668A">
            <w:pPr>
              <w:spacing w:line="360" w:lineRule="auto"/>
              <w:jc w:val="both"/>
              <w:rPr>
                <w:rFonts w:ascii="Century Gothic" w:hAnsi="Century Gothic"/>
                <w:szCs w:val="24"/>
              </w:rPr>
            </w:pPr>
          </w:p>
        </w:tc>
      </w:tr>
      <w:tr w:rsidR="00F62272" w:rsidRPr="00B4668A" w:rsidTr="00F62272">
        <w:tc>
          <w:tcPr>
            <w:tcW w:w="7112" w:type="dxa"/>
          </w:tcPr>
          <w:tbl>
            <w:tblPr>
              <w:tblW w:w="0" w:type="auto"/>
              <w:tblInd w:w="72" w:type="dxa"/>
              <w:tblBorders>
                <w:top w:val="nil"/>
                <w:left w:val="nil"/>
                <w:bottom w:val="nil"/>
                <w:right w:val="nil"/>
              </w:tblBorders>
              <w:tblLook w:val="0000"/>
            </w:tblPr>
            <w:tblGrid>
              <w:gridCol w:w="521"/>
              <w:gridCol w:w="6303"/>
            </w:tblGrid>
            <w:tr w:rsidR="00F62272" w:rsidRPr="00B4668A">
              <w:tc>
                <w:tcPr>
                  <w:tcW w:w="0" w:type="auto"/>
                </w:tcPr>
                <w:p w:rsidR="002A221F"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s="GEJIJJ+TimesNewRoman"/>
                      <w:color w:val="000000"/>
                      <w:szCs w:val="24"/>
                    </w:rPr>
                    <w:t xml:space="preserve">11. </w:t>
                  </w:r>
                </w:p>
              </w:tc>
              <w:tc>
                <w:tcPr>
                  <w:tcW w:w="0" w:type="auto"/>
                </w:tcPr>
                <w:p w:rsidR="002A221F"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p>
                <w:p w:rsidR="002A221F"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s="GEJIJJ+TimesNewRoman"/>
                      <w:color w:val="000000"/>
                      <w:szCs w:val="24"/>
                    </w:rPr>
                    <w:t xml:space="preserve">Problème régional des déchets solides intensifié par un système intermédiaire de stockage inadéquat ou un manque de décharges finales. </w:t>
                  </w:r>
                </w:p>
              </w:tc>
            </w:tr>
          </w:tbl>
          <w:p w:rsidR="0050652C" w:rsidRPr="00B4668A" w:rsidRDefault="0050652C" w:rsidP="00B4668A">
            <w:pPr>
              <w:spacing w:line="360" w:lineRule="auto"/>
              <w:jc w:val="both"/>
              <w:rPr>
                <w:rFonts w:ascii="Century Gothic" w:hAnsi="Century Gothic"/>
                <w:szCs w:val="24"/>
              </w:rPr>
            </w:pPr>
          </w:p>
        </w:tc>
        <w:tc>
          <w:tcPr>
            <w:tcW w:w="7112" w:type="dxa"/>
          </w:tcPr>
          <w:tbl>
            <w:tblPr>
              <w:tblW w:w="0" w:type="auto"/>
              <w:tblInd w:w="72" w:type="dxa"/>
              <w:tblBorders>
                <w:top w:val="nil"/>
                <w:left w:val="nil"/>
                <w:bottom w:val="nil"/>
                <w:right w:val="nil"/>
              </w:tblBorders>
              <w:tblLook w:val="0000"/>
            </w:tblPr>
            <w:tblGrid>
              <w:gridCol w:w="521"/>
              <w:gridCol w:w="6303"/>
            </w:tblGrid>
            <w:tr w:rsidR="00F62272" w:rsidRPr="00B4668A" w:rsidTr="0044695B">
              <w:tc>
                <w:tcPr>
                  <w:tcW w:w="0" w:type="auto"/>
                </w:tcPr>
                <w:p w:rsidR="002A221F"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s="GEJIJJ+TimesNewRoman"/>
                      <w:color w:val="000000"/>
                      <w:szCs w:val="24"/>
                    </w:rPr>
                    <w:t xml:space="preserve">11. </w:t>
                  </w:r>
                </w:p>
              </w:tc>
              <w:tc>
                <w:tcPr>
                  <w:tcW w:w="0" w:type="auto"/>
                </w:tcPr>
                <w:p w:rsidR="0050652C"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s="GEJIJJ+TimesNewRoman"/>
                      <w:color w:val="000000"/>
                      <w:szCs w:val="24"/>
                    </w:rPr>
                    <w:t xml:space="preserve">Prévoir des aires d’élimination sur les lieux en partant du principe que les caractéristiques des lixiviats dangereux sont connues. </w:t>
                  </w:r>
                </w:p>
              </w:tc>
            </w:tr>
          </w:tbl>
          <w:p w:rsidR="0050652C" w:rsidRPr="00B4668A" w:rsidRDefault="0050652C" w:rsidP="00B4668A">
            <w:pPr>
              <w:spacing w:line="360" w:lineRule="auto"/>
              <w:jc w:val="both"/>
              <w:rPr>
                <w:rFonts w:ascii="Century Gothic" w:hAnsi="Century Gothic"/>
                <w:szCs w:val="24"/>
              </w:rPr>
            </w:pPr>
          </w:p>
        </w:tc>
      </w:tr>
      <w:tr w:rsidR="00F62272" w:rsidRPr="00B4668A" w:rsidTr="00F62272">
        <w:tc>
          <w:tcPr>
            <w:tcW w:w="7112" w:type="dxa"/>
          </w:tcPr>
          <w:tbl>
            <w:tblPr>
              <w:tblW w:w="0" w:type="auto"/>
              <w:tblInd w:w="72" w:type="dxa"/>
              <w:tblBorders>
                <w:top w:val="nil"/>
                <w:left w:val="nil"/>
                <w:bottom w:val="nil"/>
                <w:right w:val="nil"/>
              </w:tblBorders>
              <w:tblLook w:val="0000"/>
            </w:tblPr>
            <w:tblGrid>
              <w:gridCol w:w="521"/>
              <w:gridCol w:w="6303"/>
            </w:tblGrid>
            <w:tr w:rsidR="00F62272" w:rsidRPr="00B4668A">
              <w:tc>
                <w:tcPr>
                  <w:tcW w:w="0" w:type="auto"/>
                </w:tcPr>
                <w:p w:rsidR="002A221F"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s="GEJIJJ+TimesNewRoman"/>
                      <w:color w:val="000000"/>
                      <w:szCs w:val="24"/>
                    </w:rPr>
                    <w:t xml:space="preserve">12. </w:t>
                  </w:r>
                </w:p>
              </w:tc>
              <w:tc>
                <w:tcPr>
                  <w:tcW w:w="0" w:type="auto"/>
                </w:tcPr>
                <w:p w:rsidR="002A221F"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p>
                <w:p w:rsidR="002A221F"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s="GEJIJJ+TimesNewRoman"/>
                      <w:color w:val="000000"/>
                      <w:szCs w:val="24"/>
                    </w:rPr>
                    <w:t xml:space="preserve">Perturbation des circuits de transit, apparition de bruits créés par la circulation et augmentation des risques d’accidents encourus par les piétons qu’entraîne le va-et-vient des poids lourds qui transportent les matières premières et les carburants. </w:t>
                  </w:r>
                </w:p>
              </w:tc>
            </w:tr>
          </w:tbl>
          <w:p w:rsidR="0050652C" w:rsidRPr="00B4668A" w:rsidRDefault="0050652C" w:rsidP="00B4668A">
            <w:pPr>
              <w:spacing w:line="360" w:lineRule="auto"/>
              <w:jc w:val="both"/>
              <w:rPr>
                <w:rFonts w:ascii="Century Gothic" w:hAnsi="Century Gothic"/>
                <w:szCs w:val="24"/>
              </w:rPr>
            </w:pPr>
          </w:p>
        </w:tc>
        <w:tc>
          <w:tcPr>
            <w:tcW w:w="7112" w:type="dxa"/>
          </w:tcPr>
          <w:tbl>
            <w:tblPr>
              <w:tblW w:w="0" w:type="auto"/>
              <w:tblInd w:w="72" w:type="dxa"/>
              <w:tblBorders>
                <w:top w:val="nil"/>
                <w:left w:val="nil"/>
                <w:bottom w:val="nil"/>
                <w:right w:val="nil"/>
              </w:tblBorders>
              <w:tblLook w:val="0000"/>
            </w:tblPr>
            <w:tblGrid>
              <w:gridCol w:w="521"/>
              <w:gridCol w:w="6303"/>
            </w:tblGrid>
            <w:tr w:rsidR="00F62272" w:rsidRPr="00B4668A" w:rsidTr="0044695B">
              <w:tc>
                <w:tcPr>
                  <w:tcW w:w="0" w:type="auto"/>
                </w:tcPr>
                <w:p w:rsidR="002A221F"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s="GEJIJJ+TimesNewRoman"/>
                      <w:color w:val="000000"/>
                      <w:szCs w:val="24"/>
                    </w:rPr>
                    <w:t xml:space="preserve">12. </w:t>
                  </w:r>
                </w:p>
              </w:tc>
              <w:tc>
                <w:tcPr>
                  <w:tcW w:w="0" w:type="auto"/>
                </w:tcPr>
                <w:p w:rsidR="0050652C" w:rsidRPr="00B4668A" w:rsidRDefault="0050652C" w:rsidP="00B4668A">
                  <w:pPr>
                    <w:autoSpaceDE w:val="0"/>
                    <w:autoSpaceDN w:val="0"/>
                    <w:adjustRightInd w:val="0"/>
                    <w:spacing w:after="0" w:line="360" w:lineRule="auto"/>
                    <w:jc w:val="both"/>
                    <w:rPr>
                      <w:rFonts w:ascii="Century Gothic" w:hAnsi="Century Gothic"/>
                      <w:szCs w:val="24"/>
                    </w:rPr>
                  </w:pPr>
                </w:p>
                <w:p w:rsidR="0050652C"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olor w:val="000000"/>
                      <w:szCs w:val="24"/>
                    </w:rPr>
                    <w:t xml:space="preserve">• </w:t>
                  </w:r>
                  <w:r w:rsidRPr="00B4668A">
                    <w:rPr>
                      <w:rFonts w:ascii="Century Gothic" w:hAnsi="Century Gothic" w:cs="GEJIJJ+TimesNewRoman"/>
                      <w:color w:val="000000"/>
                      <w:szCs w:val="24"/>
                    </w:rPr>
                    <w:t xml:space="preserve">Le choix de l’emplacement peut atténuer un certain nombre de ces problèmes. </w:t>
                  </w:r>
                </w:p>
                <w:p w:rsidR="0050652C"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s="GEJIJJ+TimesNewRoman"/>
                      <w:color w:val="000000"/>
                      <w:szCs w:val="24"/>
                    </w:rPr>
                    <w:t xml:space="preserve">• Il conviendrait de mener, lors de l’étude de faisabilité du projet, des études en matière de transport visant à déterminer les itinéraires les plus sûrs. </w:t>
                  </w:r>
                </w:p>
                <w:p w:rsidR="0050652C"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s="GEJIJJ+TimesNewRoman"/>
                      <w:color w:val="000000"/>
                      <w:szCs w:val="24"/>
                    </w:rPr>
                    <w:t xml:space="preserve">• Prévoir un règlement des transports et un plan d’intervention de façon à diminuer les risques </w:t>
                  </w:r>
                  <w:r w:rsidRPr="00B4668A">
                    <w:rPr>
                      <w:rFonts w:ascii="Century Gothic" w:hAnsi="Century Gothic" w:cs="GEJIJJ+TimesNewRoman"/>
                      <w:color w:val="000000"/>
                      <w:szCs w:val="24"/>
                    </w:rPr>
                    <w:lastRenderedPageBreak/>
                    <w:t xml:space="preserve">d’accidents </w:t>
                  </w:r>
                </w:p>
                <w:p w:rsidR="0050652C" w:rsidRPr="00B4668A" w:rsidRDefault="0050652C" w:rsidP="00B4668A">
                  <w:pPr>
                    <w:autoSpaceDE w:val="0"/>
                    <w:autoSpaceDN w:val="0"/>
                    <w:adjustRightInd w:val="0"/>
                    <w:spacing w:after="0" w:line="360" w:lineRule="auto"/>
                    <w:jc w:val="both"/>
                    <w:rPr>
                      <w:rFonts w:ascii="Century Gothic" w:hAnsi="Century Gothic" w:cs="GEJIJJ+TimesNewRoman"/>
                      <w:color w:val="000000"/>
                      <w:szCs w:val="24"/>
                    </w:rPr>
                  </w:pPr>
                </w:p>
              </w:tc>
            </w:tr>
          </w:tbl>
          <w:p w:rsidR="0050652C" w:rsidRPr="00B4668A" w:rsidRDefault="0050652C" w:rsidP="00B4668A">
            <w:pPr>
              <w:spacing w:line="360" w:lineRule="auto"/>
              <w:jc w:val="both"/>
              <w:rPr>
                <w:rFonts w:ascii="Century Gothic" w:hAnsi="Century Gothic"/>
                <w:szCs w:val="24"/>
              </w:rPr>
            </w:pPr>
          </w:p>
        </w:tc>
      </w:tr>
      <w:tr w:rsidR="00F62272" w:rsidRPr="00B4668A" w:rsidTr="00F62272">
        <w:tc>
          <w:tcPr>
            <w:tcW w:w="7112" w:type="dxa"/>
          </w:tcPr>
          <w:tbl>
            <w:tblPr>
              <w:tblW w:w="0" w:type="auto"/>
              <w:tblInd w:w="72" w:type="dxa"/>
              <w:tblBorders>
                <w:top w:val="nil"/>
                <w:left w:val="nil"/>
                <w:bottom w:val="nil"/>
                <w:right w:val="nil"/>
              </w:tblBorders>
              <w:tblLook w:val="0000"/>
            </w:tblPr>
            <w:tblGrid>
              <w:gridCol w:w="521"/>
              <w:gridCol w:w="6303"/>
            </w:tblGrid>
            <w:tr w:rsidR="00F62272" w:rsidRPr="00B4668A">
              <w:tc>
                <w:tcPr>
                  <w:tcW w:w="0" w:type="auto"/>
                </w:tcPr>
                <w:p w:rsidR="002A221F"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s="GEJIJJ+TimesNewRoman"/>
                      <w:color w:val="000000"/>
                      <w:szCs w:val="24"/>
                    </w:rPr>
                    <w:lastRenderedPageBreak/>
                    <w:t xml:space="preserve">13. </w:t>
                  </w:r>
                </w:p>
              </w:tc>
              <w:tc>
                <w:tcPr>
                  <w:tcW w:w="0" w:type="auto"/>
                </w:tcPr>
                <w:p w:rsidR="002A221F"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p>
                <w:p w:rsidR="002A221F"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s="GEJIJJ+TimesNewRoman"/>
                      <w:color w:val="000000"/>
                      <w:szCs w:val="24"/>
                    </w:rPr>
                    <w:t xml:space="preserve">Exploitation locale des minerais et du charbon destinés à la fabrication de métaux risque d’entrer en conflit avec les autres industries (utilisation du charbon dans les services publics) et d’aggraver l’érosion ou la sédimentation des cours d’eau en raison de méthodes d’extraction excessives ou abusives. </w:t>
                  </w:r>
                </w:p>
              </w:tc>
            </w:tr>
          </w:tbl>
          <w:p w:rsidR="0050652C" w:rsidRPr="00B4668A" w:rsidRDefault="0050652C" w:rsidP="00B4668A">
            <w:pPr>
              <w:spacing w:line="360" w:lineRule="auto"/>
              <w:jc w:val="both"/>
              <w:rPr>
                <w:rFonts w:ascii="Century Gothic" w:hAnsi="Century Gothic"/>
                <w:szCs w:val="24"/>
              </w:rPr>
            </w:pPr>
          </w:p>
        </w:tc>
        <w:tc>
          <w:tcPr>
            <w:tcW w:w="7112" w:type="dxa"/>
          </w:tcPr>
          <w:tbl>
            <w:tblPr>
              <w:tblW w:w="0" w:type="auto"/>
              <w:tblInd w:w="72" w:type="dxa"/>
              <w:tblBorders>
                <w:top w:val="nil"/>
                <w:left w:val="nil"/>
                <w:bottom w:val="nil"/>
                <w:right w:val="nil"/>
              </w:tblBorders>
              <w:tblLook w:val="0000"/>
            </w:tblPr>
            <w:tblGrid>
              <w:gridCol w:w="521"/>
              <w:gridCol w:w="6303"/>
            </w:tblGrid>
            <w:tr w:rsidR="00F62272" w:rsidRPr="00B4668A" w:rsidTr="0044695B">
              <w:tc>
                <w:tcPr>
                  <w:tcW w:w="0" w:type="auto"/>
                </w:tcPr>
                <w:p w:rsidR="002A221F"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s="GEJIJJ+TimesNewRoman"/>
                      <w:color w:val="000000"/>
                      <w:szCs w:val="24"/>
                    </w:rPr>
                    <w:t xml:space="preserve">13. </w:t>
                  </w:r>
                </w:p>
              </w:tc>
              <w:tc>
                <w:tcPr>
                  <w:tcW w:w="0" w:type="auto"/>
                </w:tcPr>
                <w:p w:rsidR="0050652C" w:rsidRPr="00B4668A" w:rsidRDefault="0050652C" w:rsidP="00B4668A">
                  <w:pPr>
                    <w:autoSpaceDE w:val="0"/>
                    <w:autoSpaceDN w:val="0"/>
                    <w:adjustRightInd w:val="0"/>
                    <w:spacing w:after="0" w:line="360" w:lineRule="auto"/>
                    <w:jc w:val="both"/>
                    <w:rPr>
                      <w:rFonts w:ascii="Century Gothic" w:hAnsi="Century Gothic"/>
                      <w:szCs w:val="24"/>
                    </w:rPr>
                  </w:pPr>
                </w:p>
                <w:p w:rsidR="0050652C"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olor w:val="000000"/>
                      <w:szCs w:val="24"/>
                    </w:rPr>
                    <w:t xml:space="preserve">• </w:t>
                  </w:r>
                  <w:r w:rsidRPr="00B4668A">
                    <w:rPr>
                      <w:rFonts w:ascii="Century Gothic" w:hAnsi="Century Gothic" w:cs="GEJIJJ+TimesNewRoman"/>
                      <w:color w:val="000000"/>
                      <w:szCs w:val="24"/>
                    </w:rPr>
                    <w:t xml:space="preserve">Faire en sorte que les utilisations du charbon correspondent aux quantités disponibles et imposer des restrictions sur les méthodes d’exploitation. </w:t>
                  </w:r>
                </w:p>
                <w:p w:rsidR="0050652C"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s="GEJIJJ+TimesNewRoman"/>
                      <w:color w:val="000000"/>
                      <w:szCs w:val="24"/>
                    </w:rPr>
                    <w:t xml:space="preserve">• Assurer une coordination avec l’agence en charge en vue d’examiner les solutions possibles de restauration de l’emplacement une fois l’installation démantelée. </w:t>
                  </w:r>
                </w:p>
                <w:p w:rsidR="0050652C" w:rsidRPr="00B4668A" w:rsidRDefault="0050652C" w:rsidP="00B4668A">
                  <w:pPr>
                    <w:autoSpaceDE w:val="0"/>
                    <w:autoSpaceDN w:val="0"/>
                    <w:adjustRightInd w:val="0"/>
                    <w:spacing w:after="0" w:line="360" w:lineRule="auto"/>
                    <w:jc w:val="both"/>
                    <w:rPr>
                      <w:rFonts w:ascii="Century Gothic" w:hAnsi="Century Gothic" w:cs="GEJIJJ+TimesNewRoman"/>
                      <w:color w:val="000000"/>
                      <w:szCs w:val="24"/>
                    </w:rPr>
                  </w:pPr>
                </w:p>
              </w:tc>
            </w:tr>
          </w:tbl>
          <w:p w:rsidR="0050652C" w:rsidRPr="00B4668A" w:rsidRDefault="0050652C" w:rsidP="00B4668A">
            <w:pPr>
              <w:spacing w:line="360" w:lineRule="auto"/>
              <w:jc w:val="both"/>
              <w:rPr>
                <w:rFonts w:ascii="Century Gothic" w:hAnsi="Century Gothic"/>
                <w:szCs w:val="24"/>
              </w:rPr>
            </w:pPr>
          </w:p>
        </w:tc>
      </w:tr>
      <w:tr w:rsidR="00F62272" w:rsidRPr="00B4668A" w:rsidTr="00F62272">
        <w:tc>
          <w:tcPr>
            <w:tcW w:w="7112" w:type="dxa"/>
          </w:tcPr>
          <w:p w:rsidR="002A221F" w:rsidRPr="00B4668A" w:rsidRDefault="002A221F" w:rsidP="00B4668A">
            <w:pPr>
              <w:spacing w:line="360" w:lineRule="auto"/>
              <w:rPr>
                <w:rFonts w:ascii="Century Gothic" w:hAnsi="Century Gothic"/>
                <w:szCs w:val="24"/>
              </w:rPr>
            </w:pPr>
          </w:p>
          <w:tbl>
            <w:tblPr>
              <w:tblW w:w="0" w:type="auto"/>
              <w:tblInd w:w="72" w:type="dxa"/>
              <w:tblBorders>
                <w:top w:val="nil"/>
                <w:left w:val="nil"/>
                <w:bottom w:val="nil"/>
                <w:right w:val="nil"/>
              </w:tblBorders>
              <w:tblLook w:val="0000"/>
            </w:tblPr>
            <w:tblGrid>
              <w:gridCol w:w="521"/>
              <w:gridCol w:w="6303"/>
            </w:tblGrid>
            <w:tr w:rsidR="00F62272" w:rsidRPr="00B4668A">
              <w:tc>
                <w:tcPr>
                  <w:tcW w:w="0" w:type="auto"/>
                </w:tcPr>
                <w:p w:rsidR="002A221F"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s="GEJIJJ+TimesNewRoman"/>
                      <w:color w:val="000000"/>
                      <w:szCs w:val="24"/>
                    </w:rPr>
                    <w:t xml:space="preserve">14. </w:t>
                  </w:r>
                </w:p>
              </w:tc>
              <w:tc>
                <w:tcPr>
                  <w:tcW w:w="0" w:type="auto"/>
                </w:tcPr>
                <w:p w:rsidR="002A221F"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p>
                <w:p w:rsidR="002A221F"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s="GEJIJJ+TimesNewRoman"/>
                      <w:color w:val="000000"/>
                      <w:szCs w:val="24"/>
                    </w:rPr>
                    <w:t xml:space="preserve">Le traitement des métaux est susceptible de requérir une énergie importante en électricité pouvant être conflictuel avec les autres usages industriels. </w:t>
                  </w:r>
                </w:p>
              </w:tc>
            </w:tr>
          </w:tbl>
          <w:p w:rsidR="0050652C" w:rsidRPr="00B4668A" w:rsidRDefault="0050652C" w:rsidP="00B4668A">
            <w:pPr>
              <w:spacing w:line="360" w:lineRule="auto"/>
              <w:jc w:val="both"/>
              <w:rPr>
                <w:rFonts w:ascii="Century Gothic" w:hAnsi="Century Gothic"/>
                <w:szCs w:val="24"/>
              </w:rPr>
            </w:pPr>
          </w:p>
        </w:tc>
        <w:tc>
          <w:tcPr>
            <w:tcW w:w="7112" w:type="dxa"/>
          </w:tcPr>
          <w:p w:rsidR="002A221F" w:rsidRPr="00B4668A" w:rsidRDefault="002A221F" w:rsidP="00B4668A">
            <w:pPr>
              <w:spacing w:line="360" w:lineRule="auto"/>
              <w:rPr>
                <w:rFonts w:ascii="Century Gothic" w:hAnsi="Century Gothic"/>
                <w:szCs w:val="24"/>
              </w:rPr>
            </w:pPr>
          </w:p>
          <w:tbl>
            <w:tblPr>
              <w:tblW w:w="0" w:type="auto"/>
              <w:tblInd w:w="72" w:type="dxa"/>
              <w:tblBorders>
                <w:top w:val="nil"/>
                <w:left w:val="nil"/>
                <w:bottom w:val="nil"/>
                <w:right w:val="nil"/>
              </w:tblBorders>
              <w:tblLook w:val="0000"/>
            </w:tblPr>
            <w:tblGrid>
              <w:gridCol w:w="521"/>
              <w:gridCol w:w="6303"/>
            </w:tblGrid>
            <w:tr w:rsidR="00F62272" w:rsidRPr="00B4668A" w:rsidTr="0044695B">
              <w:tc>
                <w:tcPr>
                  <w:tcW w:w="0" w:type="auto"/>
                </w:tcPr>
                <w:p w:rsidR="002A221F"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s="GEJIJJ+TimesNewRoman"/>
                      <w:color w:val="000000"/>
                      <w:szCs w:val="24"/>
                    </w:rPr>
                    <w:t xml:space="preserve">14. </w:t>
                  </w:r>
                </w:p>
              </w:tc>
              <w:tc>
                <w:tcPr>
                  <w:tcW w:w="0" w:type="auto"/>
                </w:tcPr>
                <w:p w:rsidR="0050652C" w:rsidRPr="00B4668A" w:rsidRDefault="0050652C" w:rsidP="00B4668A">
                  <w:pPr>
                    <w:autoSpaceDE w:val="0"/>
                    <w:autoSpaceDN w:val="0"/>
                    <w:adjustRightInd w:val="0"/>
                    <w:spacing w:after="0" w:line="360" w:lineRule="auto"/>
                    <w:jc w:val="both"/>
                    <w:rPr>
                      <w:rFonts w:ascii="Century Gothic" w:hAnsi="Century Gothic"/>
                      <w:szCs w:val="24"/>
                    </w:rPr>
                  </w:pPr>
                </w:p>
                <w:p w:rsidR="0050652C"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olor w:val="000000"/>
                      <w:szCs w:val="24"/>
                    </w:rPr>
                    <w:t xml:space="preserve">• </w:t>
                  </w:r>
                  <w:r w:rsidRPr="00B4668A">
                    <w:rPr>
                      <w:rFonts w:ascii="Century Gothic" w:hAnsi="Century Gothic" w:cs="GEJIJJ+TimesNewRoman"/>
                      <w:color w:val="000000"/>
                      <w:szCs w:val="24"/>
                    </w:rPr>
                    <w:t xml:space="preserve">Effectuer les opérations de traitement des métaux à des heures où les autres industries fonctionnant à partir d’électricité ne sont pas actives. </w:t>
                  </w:r>
                </w:p>
                <w:p w:rsidR="0050652C" w:rsidRPr="00B4668A" w:rsidRDefault="002A221F" w:rsidP="00B4668A">
                  <w:pPr>
                    <w:autoSpaceDE w:val="0"/>
                    <w:autoSpaceDN w:val="0"/>
                    <w:adjustRightInd w:val="0"/>
                    <w:spacing w:after="0" w:line="360" w:lineRule="auto"/>
                    <w:jc w:val="both"/>
                    <w:rPr>
                      <w:rFonts w:ascii="Century Gothic" w:hAnsi="Century Gothic" w:cs="GEJIJJ+TimesNewRoman"/>
                      <w:color w:val="000000"/>
                      <w:szCs w:val="24"/>
                    </w:rPr>
                  </w:pPr>
                  <w:r w:rsidRPr="00B4668A">
                    <w:rPr>
                      <w:rFonts w:ascii="Century Gothic" w:hAnsi="Century Gothic" w:cs="GEJIJJ+TimesNewRoman"/>
                      <w:color w:val="000000"/>
                      <w:szCs w:val="24"/>
                    </w:rPr>
                    <w:t xml:space="preserve">• Accroître les capacités de génération électrique. </w:t>
                  </w:r>
                </w:p>
                <w:p w:rsidR="0050652C" w:rsidRPr="00B4668A" w:rsidRDefault="0050652C" w:rsidP="00B4668A">
                  <w:pPr>
                    <w:autoSpaceDE w:val="0"/>
                    <w:autoSpaceDN w:val="0"/>
                    <w:adjustRightInd w:val="0"/>
                    <w:spacing w:after="0" w:line="360" w:lineRule="auto"/>
                    <w:jc w:val="both"/>
                    <w:rPr>
                      <w:rFonts w:ascii="Century Gothic" w:hAnsi="Century Gothic" w:cs="GEJIJJ+TimesNewRoman"/>
                      <w:color w:val="000000"/>
                      <w:szCs w:val="24"/>
                    </w:rPr>
                  </w:pPr>
                </w:p>
              </w:tc>
            </w:tr>
          </w:tbl>
          <w:p w:rsidR="0050652C" w:rsidRPr="00B4668A" w:rsidRDefault="0050652C" w:rsidP="00B4668A">
            <w:pPr>
              <w:spacing w:line="360" w:lineRule="auto"/>
              <w:jc w:val="both"/>
              <w:rPr>
                <w:rFonts w:ascii="Century Gothic" w:hAnsi="Century Gothic"/>
                <w:szCs w:val="24"/>
              </w:rPr>
            </w:pPr>
          </w:p>
        </w:tc>
      </w:tr>
    </w:tbl>
    <w:p w:rsidR="002A221F" w:rsidRPr="00B4668A" w:rsidRDefault="002A221F" w:rsidP="00B4668A">
      <w:pPr>
        <w:spacing w:line="360" w:lineRule="auto"/>
        <w:jc w:val="both"/>
        <w:rPr>
          <w:rFonts w:ascii="Century Gothic" w:hAnsi="Century Gothic"/>
          <w:szCs w:val="24"/>
        </w:rPr>
      </w:pPr>
    </w:p>
    <w:sectPr w:rsidR="002A221F" w:rsidRPr="00B4668A" w:rsidSect="00F62272">
      <w:pgSz w:w="16340" w:h="12240" w:orient="landscape"/>
      <w:pgMar w:top="981" w:right="1145" w:bottom="1026" w:left="111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FBA" w:rsidRDefault="001B5FBA" w:rsidP="007C761B">
      <w:pPr>
        <w:spacing w:after="0" w:line="240" w:lineRule="auto"/>
      </w:pPr>
      <w:r>
        <w:separator/>
      </w:r>
    </w:p>
  </w:endnote>
  <w:endnote w:type="continuationSeparator" w:id="1">
    <w:p w:rsidR="001B5FBA" w:rsidRDefault="001B5FBA" w:rsidP="007C76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JIJJ+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GHCHM+TimesNewRoman,Bold">
    <w:altName w:val="Times New Roman"/>
    <w:panose1 w:val="00000000000000000000"/>
    <w:charset w:val="00"/>
    <w:family w:val="roman"/>
    <w:notTrueType/>
    <w:pitch w:val="default"/>
    <w:sig w:usb0="00000003" w:usb1="00000000" w:usb2="00000000" w:usb3="00000000" w:csb0="00000001" w:csb1="00000000"/>
  </w:font>
  <w:font w:name="GEJLGE+TimesNewRoman,Italic">
    <w:altName w:val="Times New Roman"/>
    <w:panose1 w:val="00000000000000000000"/>
    <w:charset w:val="00"/>
    <w:family w:val="roman"/>
    <w:notTrueType/>
    <w:pitch w:val="default"/>
    <w:sig w:usb0="00000003" w:usb1="00000000" w:usb2="00000000" w:usb3="00000000" w:csb0="00000001" w:csb1="00000000"/>
  </w:font>
  <w:font w:name="JILELL+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FBA" w:rsidRDefault="001B5FBA" w:rsidP="007C761B">
      <w:pPr>
        <w:spacing w:after="0" w:line="240" w:lineRule="auto"/>
      </w:pPr>
      <w:r>
        <w:separator/>
      </w:r>
    </w:p>
  </w:footnote>
  <w:footnote w:type="continuationSeparator" w:id="1">
    <w:p w:rsidR="001B5FBA" w:rsidRDefault="001B5FBA" w:rsidP="007C761B">
      <w:pPr>
        <w:spacing w:after="0" w:line="240" w:lineRule="auto"/>
      </w:pPr>
      <w:r>
        <w:continuationSeparator/>
      </w:r>
    </w:p>
  </w:footnote>
  <w:footnote w:id="2">
    <w:p w:rsidR="00ED3FBF" w:rsidRPr="00143160" w:rsidRDefault="00ED3FBF" w:rsidP="00ED3FBF">
      <w:pPr>
        <w:spacing w:after="0"/>
        <w:jc w:val="both"/>
        <w:rPr>
          <w:rFonts w:ascii="Century Gothic" w:eastAsia="Calibri" w:hAnsi="Century Gothic" w:cs="Times New Roman"/>
          <w:color w:val="000000"/>
          <w:sz w:val="18"/>
          <w:szCs w:val="18"/>
          <w:lang w:eastAsia="en-US"/>
        </w:rPr>
      </w:pPr>
      <w:r>
        <w:rPr>
          <w:rStyle w:val="Appelnotedebasdep"/>
        </w:rPr>
        <w:footnoteRef/>
      </w:r>
      <w:r>
        <w:t xml:space="preserve"> </w:t>
      </w:r>
      <w:r w:rsidRPr="00143160">
        <w:rPr>
          <w:rFonts w:ascii="Century Gothic" w:eastAsia="Calibri" w:hAnsi="Century Gothic" w:cs="Times New Roman"/>
          <w:color w:val="000000"/>
          <w:sz w:val="18"/>
          <w:szCs w:val="18"/>
          <w:lang w:eastAsia="en-US"/>
        </w:rPr>
        <w:t>Les présentes lignes directrices ont été préparées sur la base des documents similaires des institutions internationales notamment le Groupe de la Banque mondiale et le Groupe de la Banque africaine de développement.</w:t>
      </w:r>
    </w:p>
    <w:p w:rsidR="00ED3FBF" w:rsidRDefault="00ED3FBF">
      <w:pPr>
        <w:pStyle w:val="Notedebasdepag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61B" w:rsidRPr="007C761B" w:rsidRDefault="00502357" w:rsidP="007C761B">
    <w:pPr>
      <w:spacing w:line="240" w:lineRule="auto"/>
      <w:jc w:val="center"/>
      <w:rPr>
        <w:rFonts w:ascii="Century Gothic" w:hAnsi="Century Gothic"/>
      </w:rPr>
    </w:pPr>
    <w:r>
      <w:rPr>
        <w:rFonts w:ascii="Century Gothic" w:hAnsi="Century Gothic"/>
        <w:b/>
        <w:noProof/>
        <w:sz w:val="20"/>
      </w:rPr>
      <w:drawing>
        <wp:inline distT="0" distB="0" distL="0" distR="0">
          <wp:extent cx="396875" cy="233045"/>
          <wp:effectExtent l="19050" t="0" r="3175" b="0"/>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srcRect/>
                  <a:stretch>
                    <a:fillRect/>
                  </a:stretch>
                </pic:blipFill>
                <pic:spPr bwMode="auto">
                  <a:xfrm>
                    <a:off x="0" y="0"/>
                    <a:ext cx="396875" cy="233045"/>
                  </a:xfrm>
                  <a:prstGeom prst="rect">
                    <a:avLst/>
                  </a:prstGeom>
                  <a:noFill/>
                  <a:ln w="9525">
                    <a:noFill/>
                    <a:miter lim="800000"/>
                    <a:headEnd/>
                    <a:tailEnd/>
                  </a:ln>
                </pic:spPr>
              </pic:pic>
            </a:graphicData>
          </a:graphic>
        </wp:inline>
      </w:drawing>
    </w:r>
    <w:r w:rsidR="002A221F" w:rsidRPr="002A221F">
      <w:rPr>
        <w:rFonts w:ascii="Century Gothic" w:hAnsi="Century Gothic"/>
        <w:b/>
        <w:noProof/>
        <w:sz w:val="32"/>
      </w:rPr>
      <w:t xml:space="preserve">   DIRECTIVES OPERATIONNELLES DE LA BOAD</w:t>
    </w:r>
  </w:p>
  <w:p w:rsidR="007C761B" w:rsidRDefault="00065E72" w:rsidP="007C761B">
    <w:pPr>
      <w:pStyle w:val="En-tte"/>
    </w:pPr>
    <w:r w:rsidRPr="00065E72">
      <w:rPr>
        <w:rFonts w:ascii="Century Gothic" w:hAnsi="Century Gothic"/>
        <w:b/>
        <w:noProof/>
      </w:rPr>
      <w:pict>
        <v:shapetype id="_x0000_t32" coordsize="21600,21600" o:spt="32" o:oned="t" path="m,l21600,21600e" filled="f">
          <v:path arrowok="t" fillok="f" o:connecttype="none"/>
          <o:lock v:ext="edit" shapetype="t"/>
        </v:shapetype>
        <v:shape id="_x0000_s3073" type="#_x0000_t32" style="position:absolute;margin-left:12.85pt;margin-top:-3.4pt;width:442.5pt;height:.05pt;z-index:251658240" o:connectortype="straight" strokecolor="#e36c0a" strokeweight="2.25pt"/>
      </w:pict>
    </w:r>
    <w:r w:rsidR="002A221F" w:rsidRPr="002A221F">
      <w:rPr>
        <w:rFonts w:ascii="Century Gothic" w:hAnsi="Century Gothic"/>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92A29"/>
    <w:multiLevelType w:val="hybridMultilevel"/>
    <w:tmpl w:val="44B40B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C838AB"/>
    <w:multiLevelType w:val="hybridMultilevel"/>
    <w:tmpl w:val="78A278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BE875A5"/>
    <w:multiLevelType w:val="hybridMultilevel"/>
    <w:tmpl w:val="055AC5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46A4DF5"/>
    <w:multiLevelType w:val="hybridMultilevel"/>
    <w:tmpl w:val="CEF08B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4B0900"/>
    <w:multiLevelType w:val="hybridMultilevel"/>
    <w:tmpl w:val="E26842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98926C4"/>
    <w:multiLevelType w:val="hybridMultilevel"/>
    <w:tmpl w:val="B358D6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0F576CD"/>
    <w:multiLevelType w:val="hybridMultilevel"/>
    <w:tmpl w:val="E92C01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56E6C44"/>
    <w:multiLevelType w:val="hybridMultilevel"/>
    <w:tmpl w:val="99E0C08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47F24327"/>
    <w:multiLevelType w:val="hybridMultilevel"/>
    <w:tmpl w:val="EEF23B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5B12079"/>
    <w:multiLevelType w:val="hybridMultilevel"/>
    <w:tmpl w:val="ECE6EB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28A050B"/>
    <w:multiLevelType w:val="hybridMultilevel"/>
    <w:tmpl w:val="604A7FE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68E01C79"/>
    <w:multiLevelType w:val="hybridMultilevel"/>
    <w:tmpl w:val="0AF0F9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B2D72CD"/>
    <w:multiLevelType w:val="hybridMultilevel"/>
    <w:tmpl w:val="79761BAC"/>
    <w:lvl w:ilvl="0" w:tplc="040C000F">
      <w:start w:val="1"/>
      <w:numFmt w:val="decimal"/>
      <w:lvlText w:val="%1."/>
      <w:lvlJc w:val="left"/>
      <w:pPr>
        <w:ind w:left="720" w:hanging="360"/>
      </w:pPr>
      <w:rPr>
        <w:rFonts w:hint="default"/>
      </w:rPr>
    </w:lvl>
    <w:lvl w:ilvl="1" w:tplc="91FAAE7C">
      <w:start w:val="40"/>
      <w:numFmt w:val="bullet"/>
      <w:lvlText w:val="•"/>
      <w:lvlJc w:val="left"/>
      <w:pPr>
        <w:ind w:left="1440" w:hanging="360"/>
      </w:pPr>
      <w:rPr>
        <w:rFonts w:ascii="Century Gothic" w:eastAsiaTheme="minorEastAsia" w:hAnsi="Century Gothic" w:cs="GEJIJJ+TimesNew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E690692"/>
    <w:multiLevelType w:val="hybridMultilevel"/>
    <w:tmpl w:val="8EC8FE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67242BD"/>
    <w:multiLevelType w:val="hybridMultilevel"/>
    <w:tmpl w:val="321CD5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2"/>
  </w:num>
  <w:num w:numId="3">
    <w:abstractNumId w:val="13"/>
  </w:num>
  <w:num w:numId="4">
    <w:abstractNumId w:val="14"/>
  </w:num>
  <w:num w:numId="5">
    <w:abstractNumId w:val="1"/>
  </w:num>
  <w:num w:numId="6">
    <w:abstractNumId w:val="8"/>
  </w:num>
  <w:num w:numId="7">
    <w:abstractNumId w:val="11"/>
  </w:num>
  <w:num w:numId="8">
    <w:abstractNumId w:val="2"/>
  </w:num>
  <w:num w:numId="9">
    <w:abstractNumId w:val="6"/>
  </w:num>
  <w:num w:numId="10">
    <w:abstractNumId w:val="4"/>
  </w:num>
  <w:num w:numId="11">
    <w:abstractNumId w:val="5"/>
  </w:num>
  <w:num w:numId="12">
    <w:abstractNumId w:val="7"/>
  </w:num>
  <w:num w:numId="13">
    <w:abstractNumId w:val="10"/>
  </w:num>
  <w:num w:numId="14">
    <w:abstractNumId w:val="9"/>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o:shapelayout v:ext="edit">
      <o:idmap v:ext="edit" data="3"/>
      <o:rules v:ext="edit">
        <o:r id="V:Rule2" type="connector" idref="#_x0000_s3073"/>
      </o:rules>
    </o:shapelayout>
  </w:hdrShapeDefaults>
  <w:footnotePr>
    <w:footnote w:id="0"/>
    <w:footnote w:id="1"/>
  </w:footnotePr>
  <w:endnotePr>
    <w:endnote w:id="0"/>
    <w:endnote w:id="1"/>
  </w:endnotePr>
  <w:compat>
    <w:useFELayout/>
  </w:compat>
  <w:rsids>
    <w:rsidRoot w:val="00863218"/>
    <w:rsid w:val="00030A96"/>
    <w:rsid w:val="00065E72"/>
    <w:rsid w:val="000A27FD"/>
    <w:rsid w:val="000F6457"/>
    <w:rsid w:val="00162B3C"/>
    <w:rsid w:val="00177114"/>
    <w:rsid w:val="001B5FBA"/>
    <w:rsid w:val="002247A4"/>
    <w:rsid w:val="002A221F"/>
    <w:rsid w:val="002F2F33"/>
    <w:rsid w:val="00386ADC"/>
    <w:rsid w:val="00502357"/>
    <w:rsid w:val="0050652C"/>
    <w:rsid w:val="00610AC0"/>
    <w:rsid w:val="0061653F"/>
    <w:rsid w:val="007103C9"/>
    <w:rsid w:val="007C761B"/>
    <w:rsid w:val="007D0AEC"/>
    <w:rsid w:val="0083386F"/>
    <w:rsid w:val="00855C2E"/>
    <w:rsid w:val="00863218"/>
    <w:rsid w:val="0086542D"/>
    <w:rsid w:val="009215D9"/>
    <w:rsid w:val="009A6004"/>
    <w:rsid w:val="00B26AF3"/>
    <w:rsid w:val="00B4668A"/>
    <w:rsid w:val="00B96919"/>
    <w:rsid w:val="00C74B2E"/>
    <w:rsid w:val="00CB4841"/>
    <w:rsid w:val="00CF37C0"/>
    <w:rsid w:val="00CF3D89"/>
    <w:rsid w:val="00D318DF"/>
    <w:rsid w:val="00E66845"/>
    <w:rsid w:val="00ED3FBF"/>
    <w:rsid w:val="00EE57FA"/>
    <w:rsid w:val="00F62272"/>
    <w:rsid w:val="00FD6DED"/>
    <w:rsid w:val="00FE41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AF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63218"/>
    <w:pPr>
      <w:autoSpaceDE w:val="0"/>
      <w:autoSpaceDN w:val="0"/>
      <w:adjustRightInd w:val="0"/>
      <w:spacing w:after="0" w:line="240" w:lineRule="auto"/>
    </w:pPr>
    <w:rPr>
      <w:rFonts w:ascii="GEJIJJ+TimesNewRoman" w:hAnsi="GEJIJJ+TimesNewRoman" w:cs="GEJIJJ+TimesNewRoman"/>
      <w:color w:val="000000"/>
      <w:sz w:val="24"/>
      <w:szCs w:val="24"/>
    </w:rPr>
  </w:style>
  <w:style w:type="paragraph" w:customStyle="1" w:styleId="Heading1">
    <w:name w:val="Heading 1"/>
    <w:basedOn w:val="Default"/>
    <w:next w:val="Default"/>
    <w:uiPriority w:val="99"/>
    <w:rsid w:val="00863218"/>
    <w:rPr>
      <w:rFonts w:cstheme="minorBidi"/>
      <w:color w:val="auto"/>
    </w:rPr>
  </w:style>
  <w:style w:type="paragraph" w:styleId="Corpsdetexte">
    <w:name w:val="Body Text"/>
    <w:basedOn w:val="Default"/>
    <w:next w:val="Default"/>
    <w:link w:val="CorpsdetexteCar"/>
    <w:uiPriority w:val="99"/>
    <w:rsid w:val="00863218"/>
    <w:rPr>
      <w:rFonts w:cstheme="minorBidi"/>
      <w:color w:val="auto"/>
    </w:rPr>
  </w:style>
  <w:style w:type="character" w:customStyle="1" w:styleId="CorpsdetexteCar">
    <w:name w:val="Corps de texte Car"/>
    <w:basedOn w:val="Policepardfaut"/>
    <w:link w:val="Corpsdetexte"/>
    <w:uiPriority w:val="99"/>
    <w:rsid w:val="00863218"/>
    <w:rPr>
      <w:rFonts w:ascii="GEJIJJ+TimesNewRoman" w:hAnsi="GEJIJJ+TimesNewRoman"/>
      <w:sz w:val="24"/>
      <w:szCs w:val="24"/>
    </w:rPr>
  </w:style>
  <w:style w:type="table" w:styleId="Grilledutableau">
    <w:name w:val="Table Grid"/>
    <w:basedOn w:val="TableauNormal"/>
    <w:uiPriority w:val="59"/>
    <w:rsid w:val="00F622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74B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4B2E"/>
    <w:rPr>
      <w:rFonts w:ascii="Tahoma" w:hAnsi="Tahoma" w:cs="Tahoma"/>
      <w:sz w:val="16"/>
      <w:szCs w:val="16"/>
    </w:rPr>
  </w:style>
  <w:style w:type="paragraph" w:styleId="Paragraphedeliste">
    <w:name w:val="List Paragraph"/>
    <w:basedOn w:val="Normal"/>
    <w:uiPriority w:val="34"/>
    <w:qFormat/>
    <w:rsid w:val="00B96919"/>
    <w:pPr>
      <w:ind w:left="720"/>
      <w:contextualSpacing/>
    </w:pPr>
  </w:style>
  <w:style w:type="paragraph" w:styleId="Sansinterligne">
    <w:name w:val="No Spacing"/>
    <w:uiPriority w:val="1"/>
    <w:qFormat/>
    <w:rsid w:val="00CF37C0"/>
    <w:pPr>
      <w:spacing w:after="0" w:line="240" w:lineRule="auto"/>
    </w:pPr>
  </w:style>
  <w:style w:type="paragraph" w:styleId="En-tte">
    <w:name w:val="header"/>
    <w:basedOn w:val="Normal"/>
    <w:link w:val="En-tteCar"/>
    <w:uiPriority w:val="99"/>
    <w:semiHidden/>
    <w:unhideWhenUsed/>
    <w:rsid w:val="007C761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C761B"/>
  </w:style>
  <w:style w:type="paragraph" w:styleId="Pieddepage">
    <w:name w:val="footer"/>
    <w:basedOn w:val="Normal"/>
    <w:link w:val="PieddepageCar"/>
    <w:uiPriority w:val="99"/>
    <w:semiHidden/>
    <w:unhideWhenUsed/>
    <w:rsid w:val="007C761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C761B"/>
  </w:style>
  <w:style w:type="paragraph" w:styleId="Notedebasdepage">
    <w:name w:val="footnote text"/>
    <w:basedOn w:val="Normal"/>
    <w:link w:val="NotedebasdepageCar"/>
    <w:uiPriority w:val="99"/>
    <w:semiHidden/>
    <w:unhideWhenUsed/>
    <w:rsid w:val="00ED3FB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D3FBF"/>
    <w:rPr>
      <w:sz w:val="20"/>
      <w:szCs w:val="20"/>
    </w:rPr>
  </w:style>
  <w:style w:type="character" w:styleId="Appelnotedebasdep">
    <w:name w:val="footnote reference"/>
    <w:basedOn w:val="Policepardfaut"/>
    <w:uiPriority w:val="99"/>
    <w:semiHidden/>
    <w:unhideWhenUsed/>
    <w:rsid w:val="00ED3FB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AEA74-2573-41EF-86D2-3A5AC5507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5081</Words>
  <Characters>27950</Characters>
  <Application>Microsoft Office Word</Application>
  <DocSecurity>0</DocSecurity>
  <Lines>232</Lines>
  <Paragraphs>65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dc:creator>
  <cp:lastModifiedBy>D. Benjamin</cp:lastModifiedBy>
  <cp:revision>7</cp:revision>
  <dcterms:created xsi:type="dcterms:W3CDTF">2013-12-05T16:03:00Z</dcterms:created>
  <dcterms:modified xsi:type="dcterms:W3CDTF">2014-05-08T14:43:00Z</dcterms:modified>
</cp:coreProperties>
</file>